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33" w:rsidRPr="00C27D33" w:rsidRDefault="00C27D33" w:rsidP="00C27D33">
      <w:pPr>
        <w:spacing w:line="360" w:lineRule="auto"/>
        <w:jc w:val="center"/>
        <w:rPr>
          <w:rFonts w:asciiTheme="minorEastAsia" w:eastAsiaTheme="minorEastAsia" w:hAnsiTheme="minorEastAsia" w:cstheme="minorBidi"/>
          <w:sz w:val="24"/>
          <w:szCs w:val="24"/>
        </w:rPr>
      </w:pPr>
      <w:r w:rsidRPr="00C27D33">
        <w:rPr>
          <w:rFonts w:asciiTheme="minorEastAsia" w:eastAsiaTheme="minorEastAsia" w:hAnsiTheme="minorEastAsia" w:cstheme="minorBidi" w:hint="eastAsia"/>
          <w:sz w:val="24"/>
          <w:szCs w:val="24"/>
        </w:rPr>
        <w:t>采购需求</w:t>
      </w:r>
    </w:p>
    <w:p w:rsidR="00C27D33" w:rsidRPr="00C27D33" w:rsidRDefault="00C27D33" w:rsidP="00C27D33">
      <w:pPr>
        <w:spacing w:line="360" w:lineRule="auto"/>
        <w:jc w:val="center"/>
        <w:rPr>
          <w:rFonts w:asciiTheme="minorEastAsia" w:eastAsiaTheme="minorEastAsia" w:hAnsiTheme="minorEastAsia" w:cstheme="minorBidi"/>
          <w:b/>
          <w:color w:val="FF0000"/>
          <w:sz w:val="24"/>
          <w:szCs w:val="24"/>
        </w:rPr>
      </w:pPr>
      <w:r w:rsidRPr="00C27D33">
        <w:rPr>
          <w:rFonts w:asciiTheme="minorEastAsia" w:eastAsiaTheme="minorEastAsia" w:hAnsiTheme="minorEastAsia" w:cstheme="minorBidi" w:hint="eastAsia"/>
          <w:b/>
          <w:color w:val="FF0000"/>
          <w:sz w:val="24"/>
          <w:szCs w:val="24"/>
        </w:rPr>
        <w:t>（仅供参考，具体以招标文件为准。）</w:t>
      </w:r>
    </w:p>
    <w:p w:rsidR="001706E7" w:rsidRDefault="003955F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前注：</w:t>
      </w:r>
    </w:p>
    <w:p w:rsidR="001706E7" w:rsidRDefault="003955F8">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本采购需求中提出的服务方案仅为参考，如无明确限制，投标</w:t>
      </w:r>
      <w:r>
        <w:rPr>
          <w:rFonts w:asciiTheme="minorEastAsia" w:eastAsiaTheme="minorEastAsia" w:hAnsiTheme="minorEastAsia" w:hint="eastAsia"/>
          <w:sz w:val="24"/>
        </w:rPr>
        <w:t>人</w:t>
      </w:r>
      <w:r>
        <w:rPr>
          <w:rFonts w:asciiTheme="minorEastAsia" w:eastAsiaTheme="minorEastAsia" w:hAnsiTheme="minorEastAsia"/>
          <w:sz w:val="24"/>
        </w:rPr>
        <w:t>可以进行优化，提供满足采购人实际需要的更优（或者性能实质上不低于的）服务方案，且此方案须经评标委员会评审认可</w:t>
      </w:r>
      <w:r>
        <w:rPr>
          <w:rFonts w:asciiTheme="minorEastAsia" w:eastAsiaTheme="minorEastAsia" w:hAnsiTheme="minorEastAsia" w:hint="eastAsia"/>
          <w:sz w:val="24"/>
        </w:rPr>
        <w:t>。</w:t>
      </w:r>
    </w:p>
    <w:p w:rsidR="001706E7" w:rsidRDefault="001706E7">
      <w:pPr>
        <w:spacing w:line="360" w:lineRule="auto"/>
        <w:ind w:firstLine="437"/>
        <w:rPr>
          <w:rFonts w:ascii="宋体" w:eastAsia="宋体" w:hAnsi="宋体"/>
          <w:bCs/>
          <w:sz w:val="24"/>
          <w:szCs w:val="18"/>
        </w:rPr>
      </w:pPr>
    </w:p>
    <w:p w:rsidR="001706E7" w:rsidRDefault="003955F8">
      <w:pPr>
        <w:spacing w:line="360" w:lineRule="auto"/>
        <w:ind w:firstLine="437"/>
        <w:outlineLvl w:val="1"/>
        <w:rPr>
          <w:rFonts w:ascii="宋体" w:eastAsia="宋体" w:hAnsi="宋体"/>
          <w:b/>
          <w:sz w:val="24"/>
          <w:szCs w:val="18"/>
        </w:rPr>
      </w:pPr>
      <w:bookmarkStart w:id="0" w:name="_Toc103611634"/>
      <w:bookmarkStart w:id="1" w:name="_Hlk23621890"/>
      <w:r>
        <w:rPr>
          <w:rFonts w:ascii="宋体" w:eastAsia="宋体" w:hAnsi="宋体" w:hint="eastAsia"/>
          <w:b/>
          <w:sz w:val="24"/>
          <w:szCs w:val="18"/>
        </w:rPr>
        <w:t>一、采购需求前附表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512"/>
        <w:gridCol w:w="6003"/>
      </w:tblGrid>
      <w:tr w:rsidR="001706E7" w:rsidTr="00347B56">
        <w:trPr>
          <w:trHeight w:val="502"/>
          <w:jc w:val="center"/>
        </w:trPr>
        <w:tc>
          <w:tcPr>
            <w:tcW w:w="591" w:type="pct"/>
            <w:vAlign w:val="center"/>
          </w:tcPr>
          <w:p w:rsidR="001706E7" w:rsidRDefault="003955F8">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887" w:type="pct"/>
            <w:vAlign w:val="center"/>
          </w:tcPr>
          <w:p w:rsidR="001706E7" w:rsidRDefault="003955F8">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条款名称</w:t>
            </w:r>
          </w:p>
        </w:tc>
        <w:tc>
          <w:tcPr>
            <w:tcW w:w="3522" w:type="pct"/>
            <w:vAlign w:val="center"/>
          </w:tcPr>
          <w:p w:rsidR="001706E7" w:rsidRDefault="003955F8">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内容、说明与要求</w:t>
            </w:r>
          </w:p>
        </w:tc>
      </w:tr>
      <w:tr w:rsidR="001706E7" w:rsidTr="00347B56">
        <w:trPr>
          <w:trHeight w:val="502"/>
          <w:jc w:val="center"/>
        </w:trPr>
        <w:tc>
          <w:tcPr>
            <w:tcW w:w="591" w:type="pct"/>
            <w:vAlign w:val="center"/>
          </w:tcPr>
          <w:p w:rsidR="001706E7" w:rsidRDefault="003955F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887" w:type="pct"/>
            <w:vAlign w:val="center"/>
          </w:tcPr>
          <w:p w:rsidR="001706E7" w:rsidRDefault="003955F8">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付款方式</w:t>
            </w:r>
          </w:p>
        </w:tc>
        <w:tc>
          <w:tcPr>
            <w:tcW w:w="3522" w:type="pct"/>
            <w:vAlign w:val="center"/>
          </w:tcPr>
          <w:p w:rsidR="00EF1A8F" w:rsidRDefault="00EF1A8F" w:rsidP="00EF1A8F">
            <w:pPr>
              <w:spacing w:line="360" w:lineRule="auto"/>
              <w:rPr>
                <w:rFonts w:ascii="宋体" w:eastAsia="宋体" w:hAnsi="宋体" w:cs="Times New Roman"/>
                <w:bCs/>
                <w:kern w:val="0"/>
                <w:sz w:val="24"/>
                <w:szCs w:val="28"/>
              </w:rPr>
            </w:pPr>
            <w:proofErr w:type="gramStart"/>
            <w:r>
              <w:rPr>
                <w:rFonts w:ascii="宋体" w:eastAsia="宋体" w:hAnsi="宋体" w:cs="Times New Roman" w:hint="eastAsia"/>
                <w:bCs/>
                <w:kern w:val="0"/>
                <w:sz w:val="24"/>
                <w:szCs w:val="28"/>
              </w:rPr>
              <w:t>鉴于本</w:t>
            </w:r>
            <w:proofErr w:type="gramEnd"/>
            <w:r>
              <w:rPr>
                <w:rFonts w:ascii="宋体" w:eastAsia="宋体" w:hAnsi="宋体" w:cs="Times New Roman" w:hint="eastAsia"/>
                <w:bCs/>
                <w:kern w:val="0"/>
                <w:sz w:val="24"/>
                <w:szCs w:val="28"/>
              </w:rPr>
              <w:t>项目整体规划、分期实施的特点，考虑到智慧校园工程设计服务工作期限较长等影响，本项目设计服务费用支付采用分期分阶段支付方式，具体如下：</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1.智慧校园工程设计阶段</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 xml:space="preserve">分期建设的智慧校园工程施工图设计完成并通过审核后14个工作日内（其中首次支付包含新桥校区400亩建设范围智慧校园总体设计方案设计完成），相应分期支付合同总价款* A%*15%。 </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2.智慧校园工程分期施工及分期验收阶段</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分期建设的智慧校园工程竣工验收合格后 14个工作日内，相应分期支付合同总价款* A%*60%。</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3. 智慧校园工程最终验收阶段</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400亩建设范围的智慧校园工程全部完成并竣工验收合格后14个工作日内，支付合同总价款*10%。</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4. 智慧校园工程最终竣工结算阶段</w:t>
            </w:r>
          </w:p>
          <w:p w:rsidR="001706E7"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400亩建设范围的智慧校园工程全部完成并竣工验收合格，且经审计竣工结算完成后14个工作日内，支付合同总价*15%。</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注：</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 xml:space="preserve">1.以上第1条、第2条支付节点为分期实施及支付节点； </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lastRenderedPageBreak/>
              <w:t>2.各期支付比例A%为按各分期实施面积占总建筑面积（暂定为23.72万平方米）的比例；</w:t>
            </w:r>
          </w:p>
          <w:p w:rsid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3.设计人在提请付款同时出具对应金额的合法税务发票，发包人在收到发票后支付款项；</w:t>
            </w:r>
          </w:p>
          <w:p w:rsidR="00EF1A8F" w:rsidRPr="00EF1A8F" w:rsidRDefault="00EF1A8F" w:rsidP="00EF1A8F">
            <w:pPr>
              <w:spacing w:line="360" w:lineRule="auto"/>
              <w:rPr>
                <w:rFonts w:ascii="宋体" w:eastAsia="宋体" w:hAnsi="宋体" w:cs="Times New Roman"/>
                <w:bCs/>
                <w:kern w:val="0"/>
                <w:sz w:val="24"/>
                <w:szCs w:val="28"/>
              </w:rPr>
            </w:pPr>
            <w:r>
              <w:rPr>
                <w:rFonts w:ascii="宋体" w:eastAsia="宋体" w:hAnsi="宋体" w:cs="Times New Roman" w:hint="eastAsia"/>
                <w:bCs/>
                <w:kern w:val="0"/>
                <w:sz w:val="24"/>
                <w:szCs w:val="28"/>
              </w:rPr>
              <w:t>4.竣工验收阶段与结算阶段均为完成整体400亩的竣工验收及结算。</w:t>
            </w:r>
          </w:p>
        </w:tc>
      </w:tr>
      <w:tr w:rsidR="001706E7" w:rsidTr="00347B56">
        <w:trPr>
          <w:trHeight w:val="502"/>
          <w:jc w:val="center"/>
        </w:trPr>
        <w:tc>
          <w:tcPr>
            <w:tcW w:w="591" w:type="pct"/>
            <w:vAlign w:val="center"/>
          </w:tcPr>
          <w:p w:rsidR="001706E7" w:rsidRDefault="003955F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lastRenderedPageBreak/>
              <w:t>2</w:t>
            </w:r>
          </w:p>
        </w:tc>
        <w:tc>
          <w:tcPr>
            <w:tcW w:w="887" w:type="pct"/>
            <w:vAlign w:val="center"/>
          </w:tcPr>
          <w:p w:rsidR="001706E7" w:rsidRDefault="003955F8">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服务地点</w:t>
            </w:r>
          </w:p>
        </w:tc>
        <w:tc>
          <w:tcPr>
            <w:tcW w:w="3522" w:type="pct"/>
            <w:vAlign w:val="center"/>
          </w:tcPr>
          <w:p w:rsidR="001706E7" w:rsidRDefault="003D0344">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安徽中澳科技职业学院</w:t>
            </w:r>
            <w:r w:rsidR="00C240B6">
              <w:rPr>
                <w:rFonts w:ascii="宋体" w:eastAsia="宋体" w:hAnsi="宋体" w:hint="eastAsia"/>
                <w:b w:val="0"/>
                <w:sz w:val="24"/>
                <w:u w:val="single"/>
              </w:rPr>
              <w:t>，采购人指定地点</w:t>
            </w:r>
          </w:p>
        </w:tc>
      </w:tr>
      <w:tr w:rsidR="00EF1A8F" w:rsidTr="00347B56">
        <w:trPr>
          <w:trHeight w:val="502"/>
          <w:jc w:val="center"/>
        </w:trPr>
        <w:tc>
          <w:tcPr>
            <w:tcW w:w="591" w:type="pct"/>
            <w:vAlign w:val="center"/>
          </w:tcPr>
          <w:p w:rsidR="00EF1A8F" w:rsidRDefault="00EF1A8F">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887" w:type="pct"/>
            <w:vAlign w:val="center"/>
          </w:tcPr>
          <w:p w:rsidR="00EF1A8F" w:rsidRDefault="00EF1A8F">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服务期限</w:t>
            </w:r>
          </w:p>
        </w:tc>
        <w:tc>
          <w:tcPr>
            <w:tcW w:w="3522" w:type="pct"/>
            <w:vAlign w:val="center"/>
          </w:tcPr>
          <w:p w:rsidR="00EF1A8F" w:rsidRDefault="00EF1A8F" w:rsidP="00285274">
            <w:pPr>
              <w:spacing w:line="360" w:lineRule="auto"/>
              <w:rPr>
                <w:rFonts w:ascii="宋体" w:eastAsia="宋体" w:hAnsi="宋体" w:cs="Times New Roman"/>
                <w:bCs/>
                <w:kern w:val="0"/>
                <w:sz w:val="24"/>
                <w:szCs w:val="28"/>
              </w:rPr>
            </w:pPr>
            <w:r w:rsidRPr="00EF1A8F">
              <w:rPr>
                <w:rFonts w:ascii="宋体" w:eastAsia="宋体" w:hAnsi="宋体" w:cs="Times New Roman" w:hint="eastAsia"/>
                <w:bCs/>
                <w:kern w:val="0"/>
                <w:sz w:val="24"/>
                <w:szCs w:val="28"/>
              </w:rPr>
              <w:t>自智慧校园设计合同签订之日起至设计范围内建设工程竣工验收并结算完成之日止</w:t>
            </w:r>
          </w:p>
        </w:tc>
      </w:tr>
      <w:tr w:rsidR="00EF1A8F" w:rsidTr="00347B56">
        <w:trPr>
          <w:trHeight w:val="502"/>
          <w:jc w:val="center"/>
        </w:trPr>
        <w:tc>
          <w:tcPr>
            <w:tcW w:w="591" w:type="pct"/>
            <w:vAlign w:val="center"/>
          </w:tcPr>
          <w:p w:rsidR="00EF1A8F" w:rsidRPr="00C240B6" w:rsidRDefault="00EF1A8F">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C240B6">
              <w:rPr>
                <w:rFonts w:ascii="宋体" w:eastAsia="宋体" w:hAnsi="宋体" w:hint="eastAsia"/>
                <w:bCs/>
                <w:kern w:val="2"/>
              </w:rPr>
              <w:t>4</w:t>
            </w:r>
          </w:p>
        </w:tc>
        <w:tc>
          <w:tcPr>
            <w:tcW w:w="887" w:type="pct"/>
            <w:vAlign w:val="center"/>
          </w:tcPr>
          <w:p w:rsidR="00EF1A8F" w:rsidRPr="00C240B6" w:rsidRDefault="00EF1A8F" w:rsidP="009271E5">
            <w:pPr>
              <w:pStyle w:val="xl31"/>
              <w:widowControl w:val="0"/>
              <w:spacing w:before="0" w:beforeAutospacing="0" w:after="0" w:afterAutospacing="0" w:line="360" w:lineRule="auto"/>
              <w:rPr>
                <w:rFonts w:ascii="宋体" w:eastAsia="宋体" w:hAnsi="宋体"/>
                <w:b w:val="0"/>
                <w:sz w:val="24"/>
              </w:rPr>
            </w:pPr>
            <w:r w:rsidRPr="00C240B6">
              <w:rPr>
                <w:rFonts w:ascii="宋体" w:eastAsia="宋体" w:hAnsi="宋体" w:hint="eastAsia"/>
                <w:b w:val="0"/>
                <w:sz w:val="24"/>
              </w:rPr>
              <w:t>本项目采购标的所属行业</w:t>
            </w:r>
          </w:p>
        </w:tc>
        <w:tc>
          <w:tcPr>
            <w:tcW w:w="3522" w:type="pct"/>
            <w:vAlign w:val="center"/>
          </w:tcPr>
          <w:p w:rsidR="00EF1A8F" w:rsidRDefault="00161637" w:rsidP="00285274">
            <w:pPr>
              <w:spacing w:line="360" w:lineRule="auto"/>
              <w:jc w:val="left"/>
              <w:rPr>
                <w:rFonts w:ascii="宋体" w:eastAsia="宋体" w:hAnsi="宋体"/>
                <w:sz w:val="24"/>
              </w:rPr>
            </w:pPr>
            <w:r>
              <w:rPr>
                <w:rFonts w:ascii="宋体" w:eastAsia="宋体" w:hAnsi="宋体" w:cs="Times New Roman" w:hint="eastAsia"/>
                <w:sz w:val="24"/>
                <w:szCs w:val="24"/>
              </w:rPr>
              <w:t>其他未列明行业</w:t>
            </w:r>
          </w:p>
        </w:tc>
      </w:tr>
      <w:tr w:rsidR="00347B56" w:rsidTr="00347B56">
        <w:trPr>
          <w:trHeight w:val="502"/>
          <w:jc w:val="center"/>
        </w:trPr>
        <w:tc>
          <w:tcPr>
            <w:tcW w:w="591" w:type="pct"/>
            <w:vAlign w:val="center"/>
          </w:tcPr>
          <w:p w:rsidR="00347B56" w:rsidRPr="00C240B6" w:rsidRDefault="00347B56" w:rsidP="00FC7E0D">
            <w:pPr>
              <w:pStyle w:val="DL"/>
              <w:pBdr>
                <w:bottom w:val="none" w:sz="0" w:space="0" w:color="auto"/>
              </w:pBdr>
              <w:tabs>
                <w:tab w:val="clear" w:pos="4153"/>
                <w:tab w:val="clear" w:pos="8306"/>
              </w:tabs>
              <w:adjustRightInd/>
              <w:spacing w:line="240" w:lineRule="auto"/>
              <w:textAlignment w:val="auto"/>
              <w:rPr>
                <w:rFonts w:ascii="宋体" w:eastAsia="宋体" w:hAnsi="宋体" w:hint="eastAsia"/>
                <w:bCs/>
                <w:kern w:val="2"/>
              </w:rPr>
            </w:pPr>
            <w:bookmarkStart w:id="2" w:name="_GoBack" w:colFirst="0" w:colLast="0"/>
            <w:r>
              <w:rPr>
                <w:rFonts w:ascii="宋体" w:eastAsia="宋体" w:hAnsi="宋体" w:hint="eastAsia"/>
                <w:bCs/>
                <w:kern w:val="2"/>
              </w:rPr>
              <w:t>5</w:t>
            </w:r>
          </w:p>
        </w:tc>
        <w:tc>
          <w:tcPr>
            <w:tcW w:w="887" w:type="pct"/>
            <w:vAlign w:val="center"/>
          </w:tcPr>
          <w:p w:rsidR="00347B56" w:rsidRDefault="00347B56" w:rsidP="00FC7E0D">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符合性审查业绩</w:t>
            </w:r>
          </w:p>
        </w:tc>
        <w:tc>
          <w:tcPr>
            <w:tcW w:w="3522" w:type="pct"/>
            <w:vAlign w:val="center"/>
          </w:tcPr>
          <w:p w:rsidR="00347B56" w:rsidRDefault="00347B56" w:rsidP="00FC7E0D">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自2</w:t>
            </w:r>
            <w:r w:rsidRPr="00C9030B">
              <w:rPr>
                <w:rFonts w:asciiTheme="minorEastAsia" w:eastAsiaTheme="minorEastAsia" w:hAnsiTheme="minorEastAsia" w:cs="宋体"/>
                <w:sz w:val="24"/>
                <w:szCs w:val="24"/>
                <w:u w:val="single"/>
              </w:rPr>
              <w:t>017年1月1日以来</w:t>
            </w:r>
            <w:r>
              <w:rPr>
                <w:rFonts w:asciiTheme="minorEastAsia" w:eastAsiaTheme="minorEastAsia" w:hAnsiTheme="minorEastAsia" w:hint="eastAsia"/>
                <w:sz w:val="24"/>
              </w:rPr>
              <w:t>（以合同签订时间为准），投标人须</w:t>
            </w:r>
            <w:r>
              <w:rPr>
                <w:rFonts w:ascii="宋体" w:eastAsia="宋体" w:hAnsi="宋体" w:hint="eastAsia"/>
                <w:bCs/>
                <w:sz w:val="24"/>
                <w:szCs w:val="24"/>
              </w:rPr>
              <w:t>具有</w:t>
            </w:r>
            <w:r w:rsidRPr="00C9030B">
              <w:rPr>
                <w:rFonts w:ascii="宋体" w:eastAsia="宋体" w:hAnsi="宋体" w:hint="eastAsia"/>
                <w:bCs/>
                <w:sz w:val="24"/>
                <w:szCs w:val="24"/>
                <w:u w:val="single"/>
              </w:rPr>
              <w:t>单项合同总建筑面积在</w:t>
            </w:r>
            <w:r w:rsidRPr="00C9030B">
              <w:rPr>
                <w:rFonts w:ascii="宋体" w:eastAsia="宋体" w:hAnsi="宋体"/>
                <w:bCs/>
                <w:sz w:val="24"/>
                <w:szCs w:val="24"/>
                <w:u w:val="single"/>
              </w:rPr>
              <w:t>15万平方米及以上公共建筑智能化项目设计业绩</w:t>
            </w:r>
            <w:r>
              <w:rPr>
                <w:rFonts w:asciiTheme="minorEastAsia" w:eastAsiaTheme="minorEastAsia" w:hAnsiTheme="minorEastAsia" w:hint="eastAsia"/>
                <w:sz w:val="24"/>
              </w:rPr>
              <w:t>。</w:t>
            </w:r>
          </w:p>
          <w:p w:rsidR="00347B56" w:rsidRDefault="00347B56" w:rsidP="00FC7E0D">
            <w:pPr>
              <w:pStyle w:val="xl31"/>
              <w:widowControl w:val="0"/>
              <w:spacing w:before="0" w:beforeAutospacing="0" w:after="0" w:afterAutospacing="0" w:line="360" w:lineRule="auto"/>
              <w:jc w:val="both"/>
              <w:rPr>
                <w:rFonts w:ascii="宋体" w:eastAsia="宋体" w:hAnsi="宋体"/>
                <w:b w:val="0"/>
                <w:sz w:val="24"/>
              </w:rPr>
            </w:pPr>
            <w:r>
              <w:rPr>
                <w:rFonts w:asciiTheme="minorEastAsia" w:eastAsiaTheme="minorEastAsia" w:hAnsiTheme="minorEastAsia" w:hint="eastAsia"/>
                <w:b w:val="0"/>
                <w:bCs w:val="0"/>
                <w:sz w:val="24"/>
              </w:rPr>
              <w:t>注：投标文件中提供业绩合同。如</w:t>
            </w:r>
            <w:r w:rsidRPr="00C9030B">
              <w:rPr>
                <w:rFonts w:asciiTheme="minorEastAsia" w:eastAsiaTheme="minorEastAsia" w:hAnsiTheme="minorEastAsia" w:hint="eastAsia"/>
                <w:b w:val="0"/>
                <w:bCs w:val="0"/>
                <w:sz w:val="24"/>
              </w:rPr>
              <w:t>合同不能体现合同签订时间、总建筑面积、项目内容等关键评审内容的，须提供业主单位（合同甲方）盖章的证明材料予以明确说明，否则不予认可。公共建筑系指办公建筑</w:t>
            </w:r>
            <w:r w:rsidRPr="00C9030B">
              <w:rPr>
                <w:rFonts w:asciiTheme="minorEastAsia" w:eastAsiaTheme="minorEastAsia" w:hAnsiTheme="minorEastAsia"/>
                <w:b w:val="0"/>
                <w:bCs w:val="0"/>
                <w:sz w:val="24"/>
              </w:rPr>
              <w:t>(包括写字楼、政府部门办公室等)，商业建筑(如商场、金融建筑等)，旅游建筑(如酒店、娱乐场所等)，科教文卫建筑(包括文化、教育、科研、医疗、卫生、体育建筑等)，通信建筑(如邮电、通讯、广播用房)、交通运输类建筑(如机场、高铁站、火车站、汽车站等)等，不含厂房、商住楼、住宅。</w:t>
            </w:r>
          </w:p>
        </w:tc>
      </w:tr>
    </w:tbl>
    <w:p w:rsidR="00A83CFD" w:rsidRPr="00A83CFD" w:rsidRDefault="00A83CFD" w:rsidP="00A83CFD">
      <w:pPr>
        <w:spacing w:line="360" w:lineRule="auto"/>
        <w:ind w:firstLineChars="200" w:firstLine="480"/>
        <w:textAlignment w:val="baseline"/>
        <w:rPr>
          <w:rFonts w:ascii="宋体" w:eastAsia="宋体" w:hAnsi="宋体" w:cs="黑体"/>
          <w:sz w:val="24"/>
          <w:szCs w:val="24"/>
        </w:rPr>
      </w:pPr>
      <w:bookmarkStart w:id="3" w:name="_Hlk16461016"/>
      <w:bookmarkEnd w:id="2"/>
      <w:r w:rsidRPr="00A83CFD">
        <w:rPr>
          <w:rFonts w:ascii="宋体" w:eastAsia="宋体" w:hAnsi="宋体" w:cs="黑体" w:hint="eastAsia"/>
          <w:sz w:val="24"/>
          <w:szCs w:val="24"/>
        </w:rPr>
        <w:t>二、项目概况</w:t>
      </w:r>
    </w:p>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t>1.建设地点</w:t>
      </w:r>
    </w:p>
    <w:p w:rsidR="00A83CFD" w:rsidRPr="00A83CFD" w:rsidRDefault="00A83CFD" w:rsidP="00A83CFD">
      <w:pPr>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寿县新桥国际产业园迎宾大道与丰收大道交口西北侧。</w:t>
      </w:r>
    </w:p>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t>2.建设规模</w:t>
      </w:r>
    </w:p>
    <w:p w:rsidR="00A83CFD" w:rsidRPr="00A83CFD" w:rsidRDefault="00A83CFD" w:rsidP="00A83CFD">
      <w:pPr>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lastRenderedPageBreak/>
        <w:t>安徽中澳科技职业学院新桥校区，位于寿县新桥国际产业园内。项目总规划用地面约400亩，总建筑面积约23.7万平方米，项目总投资超10亿元。新桥校区整体拟建建设内容主要包括教学楼、科教与图书信息中心、专业教学实训用房及场所、室内体育用房、系及教师办公用房、大学生活动用房、学生宿舍、食堂、教师周转房、科技馆、后勤及附属用房等工程。</w:t>
      </w:r>
    </w:p>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t>3.主要技术经济指标（暂定）</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352"/>
        <w:gridCol w:w="839"/>
        <w:gridCol w:w="2002"/>
        <w:gridCol w:w="944"/>
        <w:gridCol w:w="1590"/>
        <w:gridCol w:w="2192"/>
      </w:tblGrid>
      <w:tr w:rsidR="00A83CFD" w:rsidRPr="00A83CFD" w:rsidTr="00285274">
        <w:trPr>
          <w:trHeight w:val="390"/>
          <w:tblHeader/>
          <w:jc w:val="center"/>
        </w:trPr>
        <w:tc>
          <w:tcPr>
            <w:tcW w:w="3545" w:type="dxa"/>
            <w:gridSpan w:val="4"/>
            <w:tcBorders>
              <w:bottom w:val="single" w:sz="4" w:space="0" w:color="auto"/>
            </w:tcBorders>
            <w:shd w:val="clear" w:color="auto" w:fill="95B3D7"/>
            <w:vAlign w:val="center"/>
          </w:tcPr>
          <w:p w:rsidR="00A83CFD" w:rsidRPr="00A83CFD" w:rsidRDefault="00A83CFD" w:rsidP="00A83CFD">
            <w:pPr>
              <w:widowControl/>
              <w:spacing w:line="360" w:lineRule="auto"/>
              <w:jc w:val="center"/>
              <w:textAlignment w:val="baseline"/>
              <w:rPr>
                <w:rFonts w:ascii="宋体" w:eastAsia="宋体" w:hAnsi="宋体" w:cs="仿宋"/>
                <w:b/>
                <w:bCs/>
                <w:kern w:val="0"/>
                <w:sz w:val="24"/>
                <w:szCs w:val="24"/>
                <w:lang w:bidi="ar"/>
              </w:rPr>
            </w:pPr>
            <w:r w:rsidRPr="00A83CFD">
              <w:rPr>
                <w:rFonts w:ascii="宋体" w:eastAsia="宋体" w:hAnsi="宋体" w:cs="仿宋" w:hint="eastAsia"/>
                <w:b/>
                <w:bCs/>
                <w:kern w:val="0"/>
                <w:sz w:val="24"/>
                <w:szCs w:val="24"/>
                <w:lang w:bidi="ar"/>
              </w:rPr>
              <w:t>项目</w:t>
            </w:r>
          </w:p>
        </w:tc>
        <w:tc>
          <w:tcPr>
            <w:tcW w:w="944" w:type="dxa"/>
            <w:tcBorders>
              <w:bottom w:val="single" w:sz="4" w:space="0" w:color="auto"/>
            </w:tcBorders>
            <w:shd w:val="clear" w:color="auto" w:fill="95B3D7"/>
            <w:vAlign w:val="center"/>
          </w:tcPr>
          <w:p w:rsidR="00A83CFD" w:rsidRPr="00A83CFD" w:rsidRDefault="00A83CFD" w:rsidP="00A83CFD">
            <w:pPr>
              <w:widowControl/>
              <w:spacing w:line="360" w:lineRule="auto"/>
              <w:jc w:val="center"/>
              <w:textAlignment w:val="baseline"/>
              <w:rPr>
                <w:rFonts w:ascii="宋体" w:eastAsia="宋体" w:hAnsi="宋体" w:cs="仿宋"/>
                <w:b/>
                <w:bCs/>
                <w:kern w:val="0"/>
                <w:sz w:val="24"/>
                <w:szCs w:val="24"/>
                <w:lang w:bidi="ar"/>
              </w:rPr>
            </w:pPr>
            <w:r w:rsidRPr="00A83CFD">
              <w:rPr>
                <w:rFonts w:ascii="宋体" w:eastAsia="宋体" w:hAnsi="宋体" w:cs="仿宋" w:hint="eastAsia"/>
                <w:b/>
                <w:bCs/>
                <w:kern w:val="0"/>
                <w:sz w:val="24"/>
                <w:szCs w:val="24"/>
                <w:lang w:bidi="ar"/>
              </w:rPr>
              <w:t>单位</w:t>
            </w:r>
          </w:p>
        </w:tc>
        <w:tc>
          <w:tcPr>
            <w:tcW w:w="1590" w:type="dxa"/>
            <w:tcBorders>
              <w:bottom w:val="single" w:sz="4" w:space="0" w:color="auto"/>
            </w:tcBorders>
            <w:shd w:val="clear" w:color="auto" w:fill="95B3D7"/>
            <w:vAlign w:val="center"/>
          </w:tcPr>
          <w:p w:rsidR="00A83CFD" w:rsidRPr="00A83CFD" w:rsidRDefault="00A83CFD" w:rsidP="00A83CFD">
            <w:pPr>
              <w:widowControl/>
              <w:spacing w:line="360" w:lineRule="auto"/>
              <w:jc w:val="center"/>
              <w:textAlignment w:val="baseline"/>
              <w:rPr>
                <w:rFonts w:ascii="宋体" w:eastAsia="宋体" w:hAnsi="宋体" w:cs="仿宋"/>
                <w:b/>
                <w:bCs/>
                <w:kern w:val="0"/>
                <w:sz w:val="24"/>
                <w:szCs w:val="24"/>
                <w:lang w:bidi="ar"/>
              </w:rPr>
            </w:pPr>
            <w:r w:rsidRPr="00A83CFD">
              <w:rPr>
                <w:rFonts w:ascii="宋体" w:eastAsia="宋体" w:hAnsi="宋体" w:cs="仿宋" w:hint="eastAsia"/>
                <w:b/>
                <w:bCs/>
                <w:kern w:val="0"/>
                <w:sz w:val="24"/>
                <w:szCs w:val="24"/>
                <w:lang w:bidi="ar"/>
              </w:rPr>
              <w:t>数值</w:t>
            </w:r>
          </w:p>
        </w:tc>
        <w:tc>
          <w:tcPr>
            <w:tcW w:w="2192" w:type="dxa"/>
            <w:tcBorders>
              <w:bottom w:val="single" w:sz="4" w:space="0" w:color="auto"/>
            </w:tcBorders>
            <w:shd w:val="clear" w:color="auto" w:fill="95B3D7"/>
          </w:tcPr>
          <w:p w:rsidR="00A83CFD" w:rsidRPr="00A83CFD" w:rsidRDefault="00A83CFD" w:rsidP="00A83CFD">
            <w:pPr>
              <w:widowControl/>
              <w:spacing w:line="360" w:lineRule="auto"/>
              <w:jc w:val="center"/>
              <w:textAlignment w:val="baseline"/>
              <w:rPr>
                <w:rFonts w:ascii="宋体" w:eastAsia="宋体" w:hAnsi="宋体" w:cs="仿宋"/>
                <w:b/>
                <w:bCs/>
                <w:kern w:val="0"/>
                <w:sz w:val="24"/>
                <w:szCs w:val="24"/>
                <w:lang w:bidi="ar"/>
              </w:rPr>
            </w:pPr>
            <w:r w:rsidRPr="00A83CFD">
              <w:rPr>
                <w:rFonts w:ascii="宋体" w:eastAsia="宋体" w:hAnsi="宋体" w:cs="仿宋" w:hint="eastAsia"/>
                <w:b/>
                <w:bCs/>
                <w:kern w:val="0"/>
                <w:sz w:val="24"/>
                <w:szCs w:val="24"/>
                <w:lang w:bidi="ar"/>
              </w:rPr>
              <w:t>备注</w:t>
            </w: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规划净用地</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266689.89</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规划学生人数</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人</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8000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426"/>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总建筑面积</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237200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地上建筑面积</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217200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restart"/>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其中</w:t>
            </w:r>
          </w:p>
        </w:tc>
        <w:tc>
          <w:tcPr>
            <w:tcW w:w="352" w:type="dxa"/>
            <w:vMerge w:val="restart"/>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一期经济技术指标</w:t>
            </w: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教学楼</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14249.43</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B1#专业</w:t>
            </w:r>
            <w:proofErr w:type="gramStart"/>
            <w:r w:rsidRPr="00A83CFD">
              <w:rPr>
                <w:rFonts w:ascii="宋体" w:eastAsia="宋体" w:hAnsi="宋体" w:cs="仿宋" w:hint="eastAsia"/>
                <w:kern w:val="0"/>
                <w:sz w:val="24"/>
                <w:szCs w:val="24"/>
                <w:lang w:bidi="ar"/>
              </w:rPr>
              <w:t>实训楼</w:t>
            </w:r>
            <w:proofErr w:type="gramEnd"/>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15745.52</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B2#</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9133.65</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H1食堂</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5981.15</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科技馆</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9000.51</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会堂</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5444.27</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G1</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14839.06</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G2</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12195.85</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G3</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16681.22</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G4北</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16773.31</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G4南</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9496.30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北大门</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41.76</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东大门</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33.31</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首期建设</w:t>
            </w: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839" w:type="dxa"/>
            <w:vMerge w:val="restart"/>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地下室</w:t>
            </w:r>
          </w:p>
        </w:tc>
        <w:tc>
          <w:tcPr>
            <w:tcW w:w="2002"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N1（B2</w:t>
            </w:r>
            <w:proofErr w:type="gramStart"/>
            <w:r w:rsidRPr="00A83CFD">
              <w:rPr>
                <w:rFonts w:ascii="宋体" w:eastAsia="宋体" w:hAnsi="宋体" w:cs="仿宋" w:hint="eastAsia"/>
                <w:kern w:val="0"/>
                <w:sz w:val="24"/>
                <w:szCs w:val="24"/>
                <w:lang w:bidi="ar"/>
              </w:rPr>
              <w:t>实训楼地下</w:t>
            </w:r>
            <w:proofErr w:type="gramEnd"/>
            <w:r w:rsidRPr="00A83CFD">
              <w:rPr>
                <w:rFonts w:ascii="宋体" w:eastAsia="宋体" w:hAnsi="宋体" w:cs="仿宋" w:hint="eastAsia"/>
                <w:kern w:val="0"/>
                <w:sz w:val="24"/>
                <w:szCs w:val="24"/>
                <w:lang w:bidi="ar"/>
              </w:rPr>
              <w:t>）</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5449.98</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839"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002"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N2（H1食堂地下）</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b/>
                <w:bCs/>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3452.16</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839" w:type="dxa"/>
            <w:vMerge/>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002"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N3（I教师公寓地下）</w:t>
            </w:r>
          </w:p>
        </w:tc>
        <w:tc>
          <w:tcPr>
            <w:tcW w:w="944"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6395.87</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restart"/>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二期经济技术指标</w:t>
            </w: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B3#</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12893.04</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B4#</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10828.36</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科教与图书信息中心C1</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25920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E1风雨操场</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5850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E2看台</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1200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H2食堂</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4168.85</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教师公寓I1-I3</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20461.60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后勤及附属用房K1</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6094.81</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大门K4</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24</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大门K5</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24</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垃圾收集站K6</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120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2" w:type="dxa"/>
            <w:vMerge/>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352" w:type="dxa"/>
            <w:vMerge/>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839"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地下室</w:t>
            </w:r>
          </w:p>
        </w:tc>
        <w:tc>
          <w:tcPr>
            <w:tcW w:w="2002"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N4（C1图书馆地下）</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4701.99</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建筑基底面积</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67822.20</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建筑密度</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21.68</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容积率</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0.81</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绿地率</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40.02</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机动车总停车位</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roofErr w:type="gramStart"/>
            <w:r w:rsidRPr="00A83CFD">
              <w:rPr>
                <w:rFonts w:ascii="宋体" w:eastAsia="宋体" w:hAnsi="宋体" w:cs="仿宋" w:hint="eastAsia"/>
                <w:kern w:val="0"/>
                <w:sz w:val="24"/>
                <w:szCs w:val="24"/>
                <w:lang w:bidi="ar"/>
              </w:rPr>
              <w:t>个</w:t>
            </w:r>
            <w:proofErr w:type="gramEnd"/>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629</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其中130个充电车位</w:t>
            </w:r>
          </w:p>
        </w:tc>
      </w:tr>
      <w:tr w:rsidR="00A83CFD" w:rsidRPr="00A83CFD" w:rsidTr="00285274">
        <w:trPr>
          <w:trHeight w:val="390"/>
          <w:jc w:val="center"/>
        </w:trPr>
        <w:tc>
          <w:tcPr>
            <w:tcW w:w="704" w:type="dxa"/>
            <w:gridSpan w:val="2"/>
            <w:vMerge w:val="restart"/>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其中</w:t>
            </w: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地上车位</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roofErr w:type="gramStart"/>
            <w:r w:rsidRPr="00A83CFD">
              <w:rPr>
                <w:rFonts w:ascii="宋体" w:eastAsia="宋体" w:hAnsi="宋体" w:cs="仿宋" w:hint="eastAsia"/>
                <w:kern w:val="0"/>
                <w:sz w:val="24"/>
                <w:szCs w:val="24"/>
                <w:lang w:bidi="ar"/>
              </w:rPr>
              <w:t>个</w:t>
            </w:r>
            <w:proofErr w:type="gramEnd"/>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174</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704" w:type="dxa"/>
            <w:gridSpan w:val="2"/>
            <w:vMerge/>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c>
          <w:tcPr>
            <w:tcW w:w="2841" w:type="dxa"/>
            <w:gridSpan w:val="2"/>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地下车位</w:t>
            </w:r>
          </w:p>
        </w:tc>
        <w:tc>
          <w:tcPr>
            <w:tcW w:w="944"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roofErr w:type="gramStart"/>
            <w:r w:rsidRPr="00A83CFD">
              <w:rPr>
                <w:rFonts w:ascii="宋体" w:eastAsia="宋体" w:hAnsi="宋体" w:cs="仿宋" w:hint="eastAsia"/>
                <w:kern w:val="0"/>
                <w:sz w:val="24"/>
                <w:szCs w:val="24"/>
                <w:lang w:bidi="ar"/>
              </w:rPr>
              <w:t>个</w:t>
            </w:r>
            <w:proofErr w:type="gramEnd"/>
          </w:p>
        </w:tc>
        <w:tc>
          <w:tcPr>
            <w:tcW w:w="1590" w:type="dxa"/>
            <w:tcBorders>
              <w:bottom w:val="single" w:sz="4" w:space="0" w:color="auto"/>
            </w:tcBorders>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455</w:t>
            </w:r>
          </w:p>
        </w:tc>
        <w:tc>
          <w:tcPr>
            <w:tcW w:w="2192" w:type="dxa"/>
            <w:tcBorders>
              <w:bottom w:val="single" w:sz="4" w:space="0" w:color="auto"/>
            </w:tcBorders>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p>
        </w:tc>
      </w:tr>
      <w:tr w:rsidR="00A83CFD" w:rsidRPr="00A83CFD" w:rsidTr="00285274">
        <w:trPr>
          <w:trHeight w:val="390"/>
          <w:jc w:val="center"/>
        </w:trPr>
        <w:tc>
          <w:tcPr>
            <w:tcW w:w="3545" w:type="dxa"/>
            <w:gridSpan w:val="4"/>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非机动车总停车位</w:t>
            </w:r>
          </w:p>
        </w:tc>
        <w:tc>
          <w:tcPr>
            <w:tcW w:w="944" w:type="dxa"/>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w:t>
            </w:r>
          </w:p>
        </w:tc>
        <w:tc>
          <w:tcPr>
            <w:tcW w:w="1590" w:type="dxa"/>
            <w:vAlign w:val="center"/>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4000</w:t>
            </w:r>
          </w:p>
        </w:tc>
        <w:tc>
          <w:tcPr>
            <w:tcW w:w="2192" w:type="dxa"/>
          </w:tcPr>
          <w:p w:rsidR="00A83CFD" w:rsidRPr="00A83CFD" w:rsidRDefault="00A83CFD" w:rsidP="00A83CFD">
            <w:pPr>
              <w:widowControl/>
              <w:spacing w:line="360" w:lineRule="auto"/>
              <w:jc w:val="center"/>
              <w:textAlignment w:val="baseline"/>
              <w:rPr>
                <w:rFonts w:ascii="宋体" w:eastAsia="宋体" w:hAnsi="宋体" w:cs="仿宋"/>
                <w:kern w:val="0"/>
                <w:sz w:val="24"/>
                <w:szCs w:val="24"/>
                <w:lang w:bidi="ar"/>
              </w:rPr>
            </w:pPr>
            <w:r w:rsidRPr="00A83CFD">
              <w:rPr>
                <w:rFonts w:ascii="宋体" w:eastAsia="宋体" w:hAnsi="宋体" w:cs="仿宋" w:hint="eastAsia"/>
                <w:kern w:val="0"/>
                <w:sz w:val="24"/>
                <w:szCs w:val="24"/>
                <w:lang w:bidi="ar"/>
              </w:rPr>
              <w:t>含充电设施400个</w:t>
            </w:r>
          </w:p>
        </w:tc>
      </w:tr>
    </w:tbl>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t>4.招标范围</w:t>
      </w:r>
    </w:p>
    <w:p w:rsidR="00A83CFD" w:rsidRPr="00A83CFD" w:rsidRDefault="00A83CFD" w:rsidP="00A83CFD">
      <w:pPr>
        <w:widowControl/>
        <w:spacing w:line="360" w:lineRule="auto"/>
        <w:ind w:firstLineChars="200" w:firstLine="480"/>
        <w:rPr>
          <w:rFonts w:ascii="宋体" w:eastAsia="宋体" w:hAnsi="宋体" w:cs="Calibri"/>
          <w:sz w:val="24"/>
          <w:szCs w:val="24"/>
        </w:rPr>
      </w:pPr>
      <w:r w:rsidRPr="00A83CFD">
        <w:rPr>
          <w:rFonts w:ascii="宋体" w:eastAsia="宋体" w:hAnsi="宋体" w:cs="Calibri" w:hint="eastAsia"/>
          <w:sz w:val="24"/>
          <w:szCs w:val="24"/>
        </w:rPr>
        <w:t>本次招标范围为400亩建设用地范围内，总建筑面积约23.7万平方米的全部智慧校园工程以及对接庐阳校区智能化的设计服务。</w:t>
      </w:r>
    </w:p>
    <w:p w:rsidR="00A83CFD" w:rsidRPr="00A83CFD" w:rsidRDefault="00A83CFD" w:rsidP="00A83CFD">
      <w:pPr>
        <w:spacing w:line="360" w:lineRule="auto"/>
        <w:ind w:firstLineChars="200" w:firstLine="480"/>
        <w:textAlignment w:val="baseline"/>
        <w:rPr>
          <w:rFonts w:ascii="宋体" w:eastAsia="宋体" w:hAnsi="宋体" w:cs="黑体"/>
          <w:sz w:val="24"/>
          <w:szCs w:val="24"/>
        </w:rPr>
      </w:pPr>
      <w:r w:rsidRPr="00A83CFD">
        <w:rPr>
          <w:rFonts w:ascii="宋体" w:eastAsia="宋体" w:hAnsi="宋体" w:cs="黑体" w:hint="eastAsia"/>
          <w:sz w:val="24"/>
          <w:szCs w:val="24"/>
        </w:rPr>
        <w:t>三、设计依据及基础资料</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1.《智慧校园总体框架》GBT_36342-2018</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2.《火灾自动报警系统设计规范》GB50116-2013</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lastRenderedPageBreak/>
        <w:t>3.《综合布线系统工程设计规范》GB50311-2016</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4.《数据中心设计规范》GB50174-2017</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5.《安全防范工程技术标准》GB50348-2018</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6.《智能建筑设计标准》GB/T50314-2015</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7.《建筑设计防火规范》GB50016-2014（2018年版）</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8.《有线电视网络工程设计标准》GB/T50200-2018</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9.《电子信息系统机房设计规范》GB50174-2008</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10.《视频安防监控系统工程设计规范》GB50395-2007</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11.《建筑防烟排烟系统技术标准》GB51251-2017</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12.《消防应急照明和疏散指示系统技术标准》GB51039-2018</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13.《入侵报警系统工程设计规范》GB50394-2007</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14.《建筑物电子信息系统防雷技术规范》GB50343-2012</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15.《民用建筑电气设计规范》GB51348-2019</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16.《公共建筑节能设计标准》GB50189-2015</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17.《节能建筑评价标准》GB/T 50668-2011</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18.《民用建筑绿色设计规范》JGJ/T229-2010</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19.《绿色建筑评价标准》GB/T 50378-2019</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20.《民用建筑设计统一标准》GB50352-2019</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21.《建筑工程设计文件编制深度规定》2016年版</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凡中国国家及当地规范相关材料及操作规程应遵循其在</w:t>
      </w:r>
      <w:r w:rsidR="00285274">
        <w:rPr>
          <w:rFonts w:ascii="宋体" w:eastAsia="宋体" w:hAnsi="宋体" w:cs="Calibri" w:hint="eastAsia"/>
          <w:sz w:val="24"/>
          <w:szCs w:val="24"/>
        </w:rPr>
        <w:t>招标文件</w:t>
      </w:r>
      <w:r w:rsidRPr="00A83CFD">
        <w:rPr>
          <w:rFonts w:ascii="宋体" w:eastAsia="宋体" w:hAnsi="宋体" w:cs="Calibri" w:hint="eastAsia"/>
          <w:sz w:val="24"/>
          <w:szCs w:val="24"/>
        </w:rPr>
        <w:t>发出之前时的最新版本及附件，包括在项目竣工前最新颁布的有关规范规定和标准，同时它们亦将视为本设计需求的一部分。当被引用的标准规范与本设计任务书要求有抵触时，则采用其中更为严格的规定。</w:t>
      </w:r>
    </w:p>
    <w:p w:rsidR="00A83CFD" w:rsidRPr="00A83CFD" w:rsidRDefault="00A83CFD" w:rsidP="00A83CFD">
      <w:pPr>
        <w:spacing w:line="360" w:lineRule="auto"/>
        <w:ind w:firstLineChars="200" w:firstLine="480"/>
        <w:textAlignment w:val="baseline"/>
        <w:rPr>
          <w:rFonts w:ascii="宋体" w:eastAsia="宋体" w:hAnsi="宋体" w:cs="黑体"/>
          <w:sz w:val="24"/>
          <w:szCs w:val="24"/>
        </w:rPr>
      </w:pPr>
      <w:r w:rsidRPr="00A83CFD">
        <w:rPr>
          <w:rFonts w:ascii="宋体" w:eastAsia="宋体" w:hAnsi="宋体" w:cs="黑体" w:hint="eastAsia"/>
          <w:sz w:val="24"/>
          <w:szCs w:val="24"/>
        </w:rPr>
        <w:t>四、设计工作内容</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中标人应以《智慧校园总体框架》《智能建筑设计标准》《职业院校数字校园规范》《教育信息化2.0行动计划》和《安徽省高等学校教育信息化建设评价指标体系（试行）》为指导，充分发挥信息技术的优势，融合学院信息化多方需求，促进信息技术与学院教育教学及管理的深度融合，结合采购人实际情况规划设计智慧校园总体方案。</w:t>
      </w:r>
    </w:p>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lastRenderedPageBreak/>
        <w:t>1.主要设计内容</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本项目包括但不限于新桥校区范围内所有信息化系统的总体方案设计、施工图设计（含技术规范书编制）、投资估算编制等，具体如下：</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（1）基础设施系统及各子系统建设；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（2）中心机房系统及各子系统建设；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（3）智慧教学部分及各子系统建设；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（4）智慧安</w:t>
      </w:r>
      <w:proofErr w:type="gramStart"/>
      <w:r w:rsidRPr="00A83CFD">
        <w:rPr>
          <w:rFonts w:ascii="宋体" w:eastAsia="宋体" w:hAnsi="宋体" w:cs="仿宋" w:hint="eastAsia"/>
          <w:kern w:val="0"/>
          <w:sz w:val="24"/>
          <w:szCs w:val="24"/>
        </w:rPr>
        <w:t>防部分</w:t>
      </w:r>
      <w:proofErr w:type="gramEnd"/>
      <w:r w:rsidRPr="00A83CFD">
        <w:rPr>
          <w:rFonts w:ascii="宋体" w:eastAsia="宋体" w:hAnsi="宋体" w:cs="仿宋" w:hint="eastAsia"/>
          <w:kern w:val="0"/>
          <w:sz w:val="24"/>
          <w:szCs w:val="24"/>
        </w:rPr>
        <w:t>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（5）智能感知物联网系统及各子系统建设；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（6）智慧校园应用系统及各子系统建设；</w:t>
      </w:r>
    </w:p>
    <w:p w:rsidR="00A83CFD" w:rsidRPr="00A83CFD" w:rsidRDefault="00A83CFD" w:rsidP="00A83CFD">
      <w:pPr>
        <w:spacing w:line="360" w:lineRule="auto"/>
        <w:ind w:firstLineChars="200" w:firstLine="480"/>
        <w:jc w:val="left"/>
        <w:textAlignment w:val="baseline"/>
        <w:rPr>
          <w:rFonts w:ascii="宋体" w:eastAsia="宋体" w:hAnsi="宋体" w:cs="仿宋"/>
          <w:kern w:val="0"/>
          <w:sz w:val="24"/>
          <w:szCs w:val="24"/>
        </w:rPr>
      </w:pPr>
      <w:r w:rsidRPr="00A83CFD">
        <w:rPr>
          <w:rFonts w:ascii="宋体" w:eastAsia="宋体" w:hAnsi="宋体" w:cs="仿宋" w:hint="eastAsia"/>
          <w:kern w:val="0"/>
          <w:sz w:val="24"/>
          <w:szCs w:val="24"/>
        </w:rPr>
        <w:t>（7）其他（如老校区现有系统对接设计等）。</w:t>
      </w:r>
    </w:p>
    <w:p w:rsidR="00A83CFD" w:rsidRPr="00A83CFD" w:rsidRDefault="00A83CFD" w:rsidP="00A83CFD">
      <w:pPr>
        <w:spacing w:line="360" w:lineRule="auto"/>
        <w:ind w:firstLineChars="200" w:firstLine="480"/>
        <w:textAlignment w:val="baseline"/>
        <w:rPr>
          <w:rFonts w:ascii="宋体" w:eastAsia="宋体" w:hAnsi="宋体" w:cs="楷体"/>
          <w:sz w:val="24"/>
          <w:szCs w:val="24"/>
        </w:rPr>
      </w:pPr>
      <w:r w:rsidRPr="00A83CFD">
        <w:rPr>
          <w:rFonts w:ascii="宋体" w:eastAsia="宋体" w:hAnsi="宋体" w:cs="楷体" w:hint="eastAsia"/>
          <w:sz w:val="24"/>
          <w:szCs w:val="24"/>
        </w:rPr>
        <w:t>2.主要系统及子系统</w:t>
      </w:r>
    </w:p>
    <w:p w:rsidR="00A83CFD" w:rsidRPr="00A83CFD" w:rsidRDefault="00A83CFD" w:rsidP="00A83CFD">
      <w:pPr>
        <w:spacing w:line="360" w:lineRule="auto"/>
        <w:ind w:firstLineChars="200" w:firstLine="482"/>
        <w:jc w:val="left"/>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基础设施系统</w:t>
      </w:r>
      <w:r w:rsidRPr="00A83CFD">
        <w:rPr>
          <w:rFonts w:ascii="宋体" w:eastAsia="宋体" w:hAnsi="宋体" w:cs="仿宋" w:hint="eastAsia"/>
          <w:kern w:val="0"/>
          <w:sz w:val="24"/>
          <w:szCs w:val="24"/>
        </w:rPr>
        <w:t>：包括但不限于综合管路桥架系统、综合布线系统、校园网络系统（含无线网络覆盖系统）、信息发布系统、校园电视台系统、校园广播系统、多媒体会议系统、电子时钟系统、风雨操场专项系统、无线对讲系统等。</w:t>
      </w:r>
    </w:p>
    <w:p w:rsidR="00A83CFD" w:rsidRPr="00A83CFD" w:rsidRDefault="00A83CFD" w:rsidP="00A83CFD">
      <w:pPr>
        <w:spacing w:line="360" w:lineRule="auto"/>
        <w:ind w:firstLineChars="200" w:firstLine="482"/>
        <w:jc w:val="left"/>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中心机房系统</w:t>
      </w:r>
      <w:r w:rsidRPr="00A83CFD">
        <w:rPr>
          <w:rFonts w:ascii="宋体" w:eastAsia="宋体" w:hAnsi="宋体" w:cs="仿宋" w:hint="eastAsia"/>
          <w:kern w:val="0"/>
          <w:sz w:val="24"/>
          <w:szCs w:val="24"/>
        </w:rPr>
        <w:t>：包括但不限于机房工程、云计算中心系统、网络安全系统等。</w:t>
      </w:r>
    </w:p>
    <w:p w:rsidR="00A83CFD" w:rsidRPr="00A83CFD" w:rsidRDefault="00A83CFD" w:rsidP="00A83CFD">
      <w:pPr>
        <w:spacing w:line="360" w:lineRule="auto"/>
        <w:ind w:firstLineChars="200" w:firstLine="482"/>
        <w:jc w:val="left"/>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智慧教学部分（硬件系统）</w:t>
      </w:r>
      <w:r w:rsidRPr="00A83CFD">
        <w:rPr>
          <w:rFonts w:ascii="宋体" w:eastAsia="宋体" w:hAnsi="宋体" w:cs="仿宋" w:hint="eastAsia"/>
          <w:kern w:val="0"/>
          <w:sz w:val="24"/>
          <w:szCs w:val="24"/>
        </w:rPr>
        <w:t>：包括但不限于多媒体教学系统、教学录播系统、云桌面教学系统、计算机教室系统、</w:t>
      </w:r>
      <w:proofErr w:type="gramStart"/>
      <w:r w:rsidRPr="00A83CFD">
        <w:rPr>
          <w:rFonts w:ascii="宋体" w:eastAsia="宋体" w:hAnsi="宋体" w:cs="仿宋" w:hint="eastAsia"/>
          <w:kern w:val="0"/>
          <w:sz w:val="24"/>
          <w:szCs w:val="24"/>
        </w:rPr>
        <w:t>智慧班牌系统</w:t>
      </w:r>
      <w:proofErr w:type="gramEnd"/>
      <w:r w:rsidRPr="00A83CFD">
        <w:rPr>
          <w:rFonts w:ascii="宋体" w:eastAsia="宋体" w:hAnsi="宋体" w:cs="仿宋" w:hint="eastAsia"/>
          <w:kern w:val="0"/>
          <w:sz w:val="24"/>
          <w:szCs w:val="24"/>
        </w:rPr>
        <w:t>等。</w:t>
      </w:r>
    </w:p>
    <w:p w:rsidR="00A83CFD" w:rsidRPr="00A83CFD" w:rsidRDefault="00A83CFD" w:rsidP="00A83CFD">
      <w:pPr>
        <w:widowControl/>
        <w:spacing w:line="360" w:lineRule="auto"/>
        <w:ind w:firstLineChars="200" w:firstLine="482"/>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智慧安防部分</w:t>
      </w:r>
      <w:r w:rsidRPr="00A83CFD">
        <w:rPr>
          <w:rFonts w:ascii="宋体" w:eastAsia="宋体" w:hAnsi="宋体" w:cs="仿宋" w:hint="eastAsia"/>
          <w:kern w:val="0"/>
          <w:sz w:val="24"/>
          <w:szCs w:val="24"/>
        </w:rPr>
        <w:t>：包括但不限于出入口控制系统、访客管理系统、视频监控系统、入侵报警系统、电子巡更系统、人脸识别门禁系统、停车场管理系统等。</w:t>
      </w:r>
    </w:p>
    <w:p w:rsidR="00A83CFD" w:rsidRPr="00A83CFD" w:rsidRDefault="00A83CFD" w:rsidP="00A83CFD">
      <w:pPr>
        <w:widowControl/>
        <w:spacing w:line="360" w:lineRule="auto"/>
        <w:ind w:firstLineChars="200" w:firstLine="482"/>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智能感知物联网系统</w:t>
      </w:r>
      <w:r w:rsidRPr="00A83CFD">
        <w:rPr>
          <w:rFonts w:ascii="宋体" w:eastAsia="宋体" w:hAnsi="宋体" w:cs="仿宋" w:hint="eastAsia"/>
          <w:kern w:val="0"/>
          <w:sz w:val="24"/>
          <w:szCs w:val="24"/>
        </w:rPr>
        <w:t>：包括但不限于校园</w:t>
      </w:r>
      <w:proofErr w:type="gramStart"/>
      <w:r w:rsidRPr="00A83CFD">
        <w:rPr>
          <w:rFonts w:ascii="宋体" w:eastAsia="宋体" w:hAnsi="宋体" w:cs="仿宋" w:hint="eastAsia"/>
          <w:kern w:val="0"/>
          <w:sz w:val="24"/>
          <w:szCs w:val="24"/>
        </w:rPr>
        <w:t>一</w:t>
      </w:r>
      <w:proofErr w:type="gramEnd"/>
      <w:r w:rsidRPr="00A83CFD">
        <w:rPr>
          <w:rFonts w:ascii="宋体" w:eastAsia="宋体" w:hAnsi="宋体" w:cs="仿宋" w:hint="eastAsia"/>
          <w:kern w:val="0"/>
          <w:sz w:val="24"/>
          <w:szCs w:val="24"/>
        </w:rPr>
        <w:t>卡通系统、智慧路灯管控系统、建筑设备管理系统、能耗监测系统、</w:t>
      </w:r>
      <w:r w:rsidRPr="00A83CFD">
        <w:rPr>
          <w:rFonts w:ascii="宋体" w:eastAsia="宋体" w:hAnsi="宋体" w:cs="仿宋" w:hint="eastAsia"/>
          <w:b/>
          <w:bCs/>
          <w:kern w:val="0"/>
          <w:sz w:val="24"/>
          <w:szCs w:val="24"/>
        </w:rPr>
        <w:t>宿舍管理系统（</w:t>
      </w:r>
      <w:proofErr w:type="gramStart"/>
      <w:r w:rsidRPr="00A83CFD">
        <w:rPr>
          <w:rFonts w:ascii="宋体" w:eastAsia="宋体" w:hAnsi="宋体" w:cs="仿宋" w:hint="eastAsia"/>
          <w:b/>
          <w:bCs/>
          <w:kern w:val="0"/>
          <w:sz w:val="24"/>
          <w:szCs w:val="24"/>
        </w:rPr>
        <w:t>与庐阳</w:t>
      </w:r>
      <w:proofErr w:type="gramEnd"/>
      <w:r w:rsidRPr="00A83CFD">
        <w:rPr>
          <w:rFonts w:ascii="宋体" w:eastAsia="宋体" w:hAnsi="宋体" w:cs="仿宋" w:hint="eastAsia"/>
          <w:b/>
          <w:bCs/>
          <w:kern w:val="0"/>
          <w:sz w:val="24"/>
          <w:szCs w:val="24"/>
        </w:rPr>
        <w:t>校区对接）</w:t>
      </w:r>
      <w:r w:rsidRPr="00A83CFD">
        <w:rPr>
          <w:rFonts w:ascii="宋体" w:eastAsia="宋体" w:hAnsi="宋体" w:cs="仿宋" w:hint="eastAsia"/>
          <w:kern w:val="0"/>
          <w:sz w:val="24"/>
          <w:szCs w:val="24"/>
        </w:rPr>
        <w:t>、智慧食堂管理系统等。</w:t>
      </w:r>
    </w:p>
    <w:p w:rsidR="00A83CFD" w:rsidRPr="00A83CFD" w:rsidRDefault="00A83CFD" w:rsidP="00A83CFD">
      <w:pPr>
        <w:spacing w:line="360" w:lineRule="auto"/>
        <w:ind w:firstLineChars="200" w:firstLine="482"/>
        <w:textAlignment w:val="baseline"/>
        <w:rPr>
          <w:rFonts w:ascii="宋体" w:eastAsia="宋体" w:hAnsi="宋体" w:cs="仿宋"/>
          <w:kern w:val="0"/>
          <w:sz w:val="24"/>
          <w:szCs w:val="24"/>
        </w:rPr>
      </w:pPr>
      <w:r w:rsidRPr="00A83CFD">
        <w:rPr>
          <w:rFonts w:ascii="宋体" w:eastAsia="宋体" w:hAnsi="宋体" w:cs="仿宋" w:hint="eastAsia"/>
          <w:b/>
          <w:bCs/>
          <w:kern w:val="0"/>
          <w:sz w:val="24"/>
          <w:szCs w:val="24"/>
        </w:rPr>
        <w:t>智慧校园应用系统（软件系统）</w:t>
      </w:r>
      <w:r w:rsidRPr="00A83CFD">
        <w:rPr>
          <w:rFonts w:ascii="宋体" w:eastAsia="宋体" w:hAnsi="宋体" w:cs="仿宋" w:hint="eastAsia"/>
          <w:kern w:val="0"/>
          <w:sz w:val="24"/>
          <w:szCs w:val="24"/>
        </w:rPr>
        <w:t>：包括但不限于智慧校园软件管理系统、大数据中台建设、校园运营可视化管理系统、校园运维管理系统、智慧图书馆系统、智慧实验室管理平台等。</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在进行建筑装饰设计时要求在后期工程总承包单位提供的装修平（立）面施工图中应反映出各系统终端设施、电气设备等的点位布置。在智慧校园各系统进行相应设计时，应充分考虑后期增加系统建设、专用设备添加及扩容的需求，并预留足够的管线接驳口或路径及设备放置空间。</w:t>
      </w:r>
    </w:p>
    <w:p w:rsidR="00A83CFD" w:rsidRPr="00A83CFD" w:rsidRDefault="00A83CFD" w:rsidP="00A83CFD">
      <w:pPr>
        <w:spacing w:line="360" w:lineRule="auto"/>
        <w:ind w:firstLineChars="200" w:firstLine="480"/>
        <w:textAlignment w:val="baseline"/>
        <w:rPr>
          <w:rFonts w:ascii="宋体" w:eastAsia="宋体" w:hAnsi="宋体" w:cs="黑体"/>
          <w:sz w:val="24"/>
          <w:szCs w:val="24"/>
        </w:rPr>
      </w:pPr>
      <w:r w:rsidRPr="00A83CFD">
        <w:rPr>
          <w:rFonts w:ascii="宋体" w:eastAsia="宋体" w:hAnsi="宋体" w:cs="黑体" w:hint="eastAsia"/>
          <w:sz w:val="24"/>
          <w:szCs w:val="24"/>
        </w:rPr>
        <w:lastRenderedPageBreak/>
        <w:t>五</w:t>
      </w:r>
      <w:r w:rsidR="00285274">
        <w:rPr>
          <w:rFonts w:ascii="宋体" w:eastAsia="宋体" w:hAnsi="宋体" w:cs="黑体" w:hint="eastAsia"/>
          <w:sz w:val="24"/>
          <w:szCs w:val="24"/>
        </w:rPr>
        <w:t>、</w:t>
      </w:r>
      <w:r w:rsidRPr="00A83CFD">
        <w:rPr>
          <w:rFonts w:ascii="宋体" w:eastAsia="宋体" w:hAnsi="宋体" w:cs="黑体" w:hint="eastAsia"/>
          <w:sz w:val="24"/>
          <w:szCs w:val="24"/>
        </w:rPr>
        <w:t>基本服务要求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结合本项目建筑功能，按照一次规划、多期建设的原则，并综合目前国际、国内最为先进的技术水准和设计理念，为本项目设计一套先进、成熟、安全、可靠且具备标准化、开放性等特点的综合化集成管理智慧校园工程。</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2.综合考虑整体设计、分期建设（分期出图）、老校区现有系统等因素，并根据实际需求进行智慧校园的总体方案设计、施工图设计（含技术规范书编制）、投资估算编制等。</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3.根据批复的初步设计文件，编制设计征求意见表，征求学院各系部设计要求，并根据各系统要求完成总体智慧校园工程设计方案编制。</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4. 针对发包人拟选用的系统，方案设计、施工图设计需充分结合新老校区建设特点及发包人实际需求，编制投资估算时，针对无</w:t>
      </w:r>
      <w:proofErr w:type="gramStart"/>
      <w:r w:rsidRPr="00A83CFD">
        <w:rPr>
          <w:rFonts w:ascii="宋体" w:eastAsia="宋体" w:hAnsi="宋体" w:cs="Calibri" w:hint="eastAsia"/>
          <w:sz w:val="24"/>
          <w:szCs w:val="24"/>
        </w:rPr>
        <w:t>信息价</w:t>
      </w:r>
      <w:proofErr w:type="gramEnd"/>
      <w:r w:rsidRPr="00A83CFD">
        <w:rPr>
          <w:rFonts w:ascii="宋体" w:eastAsia="宋体" w:hAnsi="宋体" w:cs="Calibri" w:hint="eastAsia"/>
          <w:sz w:val="24"/>
          <w:szCs w:val="24"/>
        </w:rPr>
        <w:t>材料、设备，设计单位需提供不少于三家同等级、同品质市场价格（并提供价格依据），供项目管理单位、跟踪审计单位、发包人进行审核，相关咨询费用包括在投标报价中。</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5.设计需充分考虑两个校区之间专线、财政专线、政府OA、教育网等要求。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6</w:t>
      </w:r>
      <w:r w:rsidRPr="00A83CFD">
        <w:rPr>
          <w:rFonts w:ascii="宋体" w:eastAsia="宋体" w:hAnsi="宋体" w:cs="Calibri" w:hint="eastAsia"/>
          <w:sz w:val="24"/>
          <w:szCs w:val="24"/>
        </w:rPr>
        <w:t>.中标人负责设计方案文本打印，以会议等形式向学院汇报，主要汇报系统设计思想、各系统及子系统选择、各系统及子系统投资估算等，为学院选择最终的建设系统提供决策依据。</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7</w:t>
      </w:r>
      <w:r w:rsidRPr="00A83CFD">
        <w:rPr>
          <w:rFonts w:ascii="宋体" w:eastAsia="宋体" w:hAnsi="宋体" w:cs="Calibri" w:hint="eastAsia"/>
          <w:sz w:val="24"/>
          <w:szCs w:val="24"/>
        </w:rPr>
        <w:t>.方案设计时，需充分对接庐阳校区已有系统，确保项目投入使用后两个校区间无缝衔接，同时要求充分考虑项目投入使用后，做到随技术发展而扩容、升级等要求。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8</w:t>
      </w:r>
      <w:r w:rsidRPr="00A83CFD">
        <w:rPr>
          <w:rFonts w:ascii="宋体" w:eastAsia="宋体" w:hAnsi="宋体" w:cs="Calibri" w:hint="eastAsia"/>
          <w:sz w:val="24"/>
          <w:szCs w:val="24"/>
        </w:rPr>
        <w:t>.根据确定设计方案、建筑施工图以及分期建设，分期完成施工图设计、施工图出图等工作，并配合完成审批工作。</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9</w:t>
      </w:r>
      <w:r w:rsidRPr="00A83CFD">
        <w:rPr>
          <w:rFonts w:ascii="宋体" w:eastAsia="宋体" w:hAnsi="宋体" w:cs="Calibri" w:hint="eastAsia"/>
          <w:sz w:val="24"/>
          <w:szCs w:val="24"/>
        </w:rPr>
        <w:t>.为推动项目实施，中标人要积极配合EPC单位，与建筑施工图同步进行智慧校园工程施工图设计。</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10</w:t>
      </w:r>
      <w:r w:rsidRPr="00A83CFD">
        <w:rPr>
          <w:rFonts w:ascii="宋体" w:eastAsia="宋体" w:hAnsi="宋体" w:cs="Calibri" w:hint="eastAsia"/>
          <w:sz w:val="24"/>
          <w:szCs w:val="24"/>
        </w:rPr>
        <w:t>.中标人进行施工图设计时，要完成智慧校园预埋管线施工图设计，确保主体结构施工时能同步完成管线预埋工作。</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1</w:t>
      </w:r>
      <w:r w:rsidRPr="00A83CFD">
        <w:rPr>
          <w:rFonts w:ascii="宋体" w:eastAsia="宋体" w:hAnsi="宋体" w:cs="Calibri" w:hint="eastAsia"/>
          <w:sz w:val="24"/>
          <w:szCs w:val="24"/>
        </w:rPr>
        <w:t>.施工图设计完成后，中标人要同步完成技术规范书编制，与施工图同步移交发包人。</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lastRenderedPageBreak/>
        <w:t>1</w:t>
      </w:r>
      <w:r w:rsidRPr="00A83CFD">
        <w:rPr>
          <w:rFonts w:ascii="宋体" w:eastAsia="宋体" w:hAnsi="宋体" w:cs="Calibri"/>
          <w:sz w:val="24"/>
          <w:szCs w:val="24"/>
        </w:rPr>
        <w:t>2</w:t>
      </w:r>
      <w:r w:rsidRPr="00A83CFD">
        <w:rPr>
          <w:rFonts w:ascii="宋体" w:eastAsia="宋体" w:hAnsi="宋体" w:cs="Calibri" w:hint="eastAsia"/>
          <w:sz w:val="24"/>
          <w:szCs w:val="24"/>
        </w:rPr>
        <w:t>.方案设计阶段、施工图设计阶段，需无条件配合发包人修改要求，及时出具盖章施工图，并确保通过有关部门的审批。</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3</w:t>
      </w:r>
      <w:r w:rsidRPr="00A83CFD">
        <w:rPr>
          <w:rFonts w:ascii="宋体" w:eastAsia="宋体" w:hAnsi="宋体" w:cs="Calibri" w:hint="eastAsia"/>
          <w:sz w:val="24"/>
          <w:szCs w:val="24"/>
        </w:rPr>
        <w:t>.配合发包人以及控制价编制单位，完成智慧校园工程控制价编制。</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4</w:t>
      </w:r>
      <w:r w:rsidRPr="00A83CFD">
        <w:rPr>
          <w:rFonts w:ascii="宋体" w:eastAsia="宋体" w:hAnsi="宋体" w:cs="Calibri" w:hint="eastAsia"/>
          <w:sz w:val="24"/>
          <w:szCs w:val="24"/>
        </w:rPr>
        <w:t>.智慧校园工程施工招标时，配合发包人完成技术需求编制工作，以会议等形式向学院汇报，参与方案论证、需求论证和决策会议。</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5</w:t>
      </w:r>
      <w:r w:rsidRPr="00A83CFD">
        <w:rPr>
          <w:rFonts w:ascii="宋体" w:eastAsia="宋体" w:hAnsi="宋体" w:cs="Calibri" w:hint="eastAsia"/>
          <w:sz w:val="24"/>
          <w:szCs w:val="24"/>
        </w:rPr>
        <w:t>.配合发包人办理与本工程建设报批有关的各类手续，必要时提供相应的材料或资料。</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6</w:t>
      </w:r>
      <w:r w:rsidRPr="00A83CFD">
        <w:rPr>
          <w:rFonts w:ascii="宋体" w:eastAsia="宋体" w:hAnsi="宋体" w:cs="Calibri" w:hint="eastAsia"/>
          <w:sz w:val="24"/>
          <w:szCs w:val="24"/>
        </w:rPr>
        <w:t>.做好与装修设计之间的配合工作，确保智慧校园工程设计与建筑装修设计之间的协调一致，从设计环节实现两者之间的统一。</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7</w:t>
      </w:r>
      <w:r w:rsidRPr="00A83CFD">
        <w:rPr>
          <w:rFonts w:ascii="宋体" w:eastAsia="宋体" w:hAnsi="宋体" w:cs="Calibri" w:hint="eastAsia"/>
          <w:sz w:val="24"/>
          <w:szCs w:val="24"/>
        </w:rPr>
        <w:t>.积极配合设计交底和方案、图纸审查工作，委派专人负责装修施工阶段的设计联络事宜、及时处理设计变更、及时解决现场施工问题。</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8</w:t>
      </w:r>
      <w:r w:rsidRPr="00A83CFD">
        <w:rPr>
          <w:rFonts w:ascii="宋体" w:eastAsia="宋体" w:hAnsi="宋体" w:cs="Calibri" w:hint="eastAsia"/>
          <w:sz w:val="24"/>
          <w:szCs w:val="24"/>
        </w:rPr>
        <w:t>.参加发包人组织的与装修工程有关的会议，参与设备选样以及设备样品的确认，并负责后续施工过程中的设计服务、配合、指导、验收等工作。</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Pr="00A83CFD">
        <w:rPr>
          <w:rFonts w:ascii="宋体" w:eastAsia="宋体" w:hAnsi="宋体" w:cs="Calibri"/>
          <w:sz w:val="24"/>
          <w:szCs w:val="24"/>
        </w:rPr>
        <w:t>9</w:t>
      </w:r>
      <w:r w:rsidRPr="00A83CFD">
        <w:rPr>
          <w:rFonts w:ascii="宋体" w:eastAsia="宋体" w:hAnsi="宋体" w:cs="Calibri" w:hint="eastAsia"/>
          <w:sz w:val="24"/>
          <w:szCs w:val="24"/>
        </w:rPr>
        <w:t>.方案设计、施工图设计需充分结合发包人实际情况，以设计概算批复的费用作为投资控制目标。</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sz w:val="24"/>
          <w:szCs w:val="24"/>
        </w:rPr>
        <w:t>20</w:t>
      </w:r>
      <w:r w:rsidRPr="00A83CFD">
        <w:rPr>
          <w:rFonts w:ascii="宋体" w:eastAsia="宋体" w:hAnsi="宋体" w:cs="Calibri" w:hint="eastAsia"/>
          <w:sz w:val="24"/>
          <w:szCs w:val="24"/>
        </w:rPr>
        <w:t>.项目设计过程中，因项目设计等需要组织专家论证的，由中标人负责组织实施并承担相关会务和评审费用。</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w:t>
      </w:r>
      <w:r w:rsidRPr="00A83CFD">
        <w:rPr>
          <w:rFonts w:ascii="宋体" w:eastAsia="宋体" w:hAnsi="宋体" w:cs="Calibri"/>
          <w:sz w:val="24"/>
          <w:szCs w:val="24"/>
        </w:rPr>
        <w:t>1</w:t>
      </w:r>
      <w:r w:rsidRPr="00A83CFD">
        <w:rPr>
          <w:rFonts w:ascii="宋体" w:eastAsia="宋体" w:hAnsi="宋体" w:cs="Calibri" w:hint="eastAsia"/>
          <w:sz w:val="24"/>
          <w:szCs w:val="24"/>
        </w:rPr>
        <w:t>.中标人进场后需委托符合资质及项目所在地要求的第三方图审单位进行智慧校园工程施工图审查工作，并配合报批报建等相关工作，</w:t>
      </w:r>
      <w:proofErr w:type="gramStart"/>
      <w:r w:rsidRPr="00A83CFD">
        <w:rPr>
          <w:rFonts w:ascii="宋体" w:eastAsia="宋体" w:hAnsi="宋体" w:cs="Calibri" w:hint="eastAsia"/>
          <w:sz w:val="24"/>
          <w:szCs w:val="24"/>
        </w:rPr>
        <w:t>图审等相关</w:t>
      </w:r>
      <w:proofErr w:type="gramEnd"/>
      <w:r w:rsidRPr="00A83CFD">
        <w:rPr>
          <w:rFonts w:ascii="宋体" w:eastAsia="宋体" w:hAnsi="宋体" w:cs="Calibri" w:hint="eastAsia"/>
          <w:sz w:val="24"/>
          <w:szCs w:val="24"/>
        </w:rPr>
        <w:t>费用请投标人在投标时统一考虑，发包人不再另行支付。</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22.本项目设计团队人数不少于5人。</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w:t>
      </w:r>
      <w:r w:rsidRPr="00A83CFD">
        <w:rPr>
          <w:rFonts w:ascii="宋体" w:eastAsia="宋体" w:hAnsi="宋体" w:cs="Calibri"/>
          <w:sz w:val="24"/>
          <w:szCs w:val="24"/>
        </w:rPr>
        <w:t>3</w:t>
      </w:r>
      <w:r w:rsidRPr="00A83CFD">
        <w:rPr>
          <w:rFonts w:ascii="宋体" w:eastAsia="宋体" w:hAnsi="宋体" w:cs="Calibri" w:hint="eastAsia"/>
          <w:sz w:val="24"/>
          <w:szCs w:val="24"/>
        </w:rPr>
        <w:t>、根据发包人需求配合招标控制价编制。</w:t>
      </w:r>
    </w:p>
    <w:p w:rsidR="00A83CFD" w:rsidRPr="00A83CFD" w:rsidRDefault="00A83CFD" w:rsidP="00A83CFD">
      <w:pPr>
        <w:spacing w:line="360" w:lineRule="auto"/>
        <w:ind w:firstLineChars="200" w:firstLine="480"/>
        <w:textAlignment w:val="baseline"/>
        <w:rPr>
          <w:rFonts w:ascii="宋体" w:eastAsia="宋体" w:hAnsi="宋体" w:cs="黑体"/>
          <w:sz w:val="24"/>
          <w:szCs w:val="24"/>
        </w:rPr>
      </w:pPr>
      <w:r w:rsidRPr="00A83CFD">
        <w:rPr>
          <w:rFonts w:ascii="宋体" w:eastAsia="宋体" w:hAnsi="宋体" w:cs="黑体" w:hint="eastAsia"/>
          <w:sz w:val="24"/>
          <w:szCs w:val="24"/>
        </w:rPr>
        <w:t>六、工作进度要求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w:t>
      </w:r>
      <w:r w:rsidR="00285274">
        <w:rPr>
          <w:rFonts w:ascii="宋体" w:eastAsia="宋体" w:hAnsi="宋体" w:cs="Calibri" w:hint="eastAsia"/>
          <w:sz w:val="24"/>
          <w:szCs w:val="24"/>
        </w:rPr>
        <w:t>合同签订之日</w:t>
      </w:r>
      <w:r w:rsidRPr="00A83CFD">
        <w:rPr>
          <w:rFonts w:ascii="宋体" w:eastAsia="宋体" w:hAnsi="宋体" w:cs="Calibri" w:hint="eastAsia"/>
          <w:sz w:val="24"/>
          <w:szCs w:val="24"/>
        </w:rPr>
        <w:t>起，中标人依据初步设计文件开展方案设计工作， 2周内完成初步方案设计，4周内完成方案设计（含征求意见、方案汇报等工作）。</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工程总承包单位各专业施工图设计前（工程总承包单位进场后），智慧校园工程设计单位需在一周内将设计要求提资给建筑专业，由建筑专业结合各专业在一周内进行反馈，同意后由智慧校园工程设计单位进行深化并完成预埋管线施工图，可分批出图，但必须满足项目施工需要。</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lastRenderedPageBreak/>
        <w:t>3.</w:t>
      </w:r>
      <w:proofErr w:type="gramStart"/>
      <w:r w:rsidRPr="00A83CFD">
        <w:rPr>
          <w:rFonts w:ascii="宋体" w:eastAsia="宋体" w:hAnsi="宋体" w:cs="Calibri" w:hint="eastAsia"/>
          <w:sz w:val="24"/>
          <w:szCs w:val="24"/>
        </w:rPr>
        <w:t>自建筑</w:t>
      </w:r>
      <w:proofErr w:type="gramEnd"/>
      <w:r w:rsidRPr="00A83CFD">
        <w:rPr>
          <w:rFonts w:ascii="宋体" w:eastAsia="宋体" w:hAnsi="宋体" w:cs="Calibri" w:hint="eastAsia"/>
          <w:sz w:val="24"/>
          <w:szCs w:val="24"/>
        </w:rPr>
        <w:t>专业最终提资回复到达智慧校园工程设计单位之日起，需在3周内完成首期施工图设计工作。</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4.首期施工图设计工作完成后并经发包人与项目管理单位审查同意后，</w:t>
      </w:r>
      <w:proofErr w:type="gramStart"/>
      <w:r w:rsidRPr="00A83CFD">
        <w:rPr>
          <w:rFonts w:ascii="宋体" w:eastAsia="宋体" w:hAnsi="宋体" w:cs="Calibri" w:hint="eastAsia"/>
          <w:sz w:val="24"/>
          <w:szCs w:val="24"/>
        </w:rPr>
        <w:t>报图审</w:t>
      </w:r>
      <w:proofErr w:type="gramEnd"/>
      <w:r w:rsidRPr="00A83CFD">
        <w:rPr>
          <w:rFonts w:ascii="宋体" w:eastAsia="宋体" w:hAnsi="宋体" w:cs="Calibri" w:hint="eastAsia"/>
          <w:sz w:val="24"/>
          <w:szCs w:val="24"/>
        </w:rPr>
        <w:t>机构，并在2周内完成。</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5.如遇不可抗力，需要书面向发包人报告。</w:t>
      </w:r>
    </w:p>
    <w:p w:rsidR="00A83CFD" w:rsidRPr="00A83CFD" w:rsidRDefault="00A83CFD" w:rsidP="00A83CFD">
      <w:pPr>
        <w:spacing w:line="360" w:lineRule="auto"/>
        <w:ind w:firstLineChars="200" w:firstLine="480"/>
        <w:textAlignment w:val="baseline"/>
        <w:rPr>
          <w:rFonts w:ascii="宋体" w:eastAsia="宋体" w:hAnsi="宋体" w:cs="黑体"/>
          <w:sz w:val="24"/>
          <w:szCs w:val="24"/>
        </w:rPr>
      </w:pPr>
      <w:r w:rsidRPr="00A83CFD">
        <w:rPr>
          <w:rFonts w:ascii="宋体" w:eastAsia="宋体" w:hAnsi="宋体" w:cs="黑体" w:hint="eastAsia"/>
          <w:sz w:val="24"/>
          <w:szCs w:val="24"/>
        </w:rPr>
        <w:t>七、成果文件要求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1.设计方案及投资估算文件不少于8套（不含过程中汇报文本）（发包人可根据项目实际需要增加）。</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2.施工图设计文件及技术规范书不少于8套（发包人可根据项目实际需要增加）。</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3.鉴于项目施工进度需要，需单独出具全套管道预埋施工图不少于8套（发包人可根据项目实际需要增加）。</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八、报价要求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本项目报总价，报价包含完成本项目所产生的一切费用，履约期间采购人不再追加任何费用，投标人报价</w:t>
      </w:r>
      <w:proofErr w:type="gramStart"/>
      <w:r w:rsidRPr="00A83CFD">
        <w:rPr>
          <w:rFonts w:ascii="宋体" w:eastAsia="宋体" w:hAnsi="宋体" w:cs="Calibri" w:hint="eastAsia"/>
          <w:sz w:val="24"/>
          <w:szCs w:val="24"/>
        </w:rPr>
        <w:t>时综合</w:t>
      </w:r>
      <w:proofErr w:type="gramEnd"/>
      <w:r w:rsidRPr="00A83CFD">
        <w:rPr>
          <w:rFonts w:ascii="宋体" w:eastAsia="宋体" w:hAnsi="宋体" w:cs="Calibri" w:hint="eastAsia"/>
          <w:sz w:val="24"/>
          <w:szCs w:val="24"/>
        </w:rPr>
        <w:t>考虑报价风险。</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九、其他要求</w:t>
      </w:r>
    </w:p>
    <w:p w:rsidR="00A83CFD" w:rsidRPr="00A83CFD" w:rsidRDefault="00A83CFD" w:rsidP="00A83CFD">
      <w:pPr>
        <w:widowControl/>
        <w:spacing w:line="360" w:lineRule="auto"/>
        <w:ind w:firstLineChars="200" w:firstLine="480"/>
        <w:textAlignment w:val="baseline"/>
        <w:rPr>
          <w:rFonts w:ascii="宋体" w:eastAsia="宋体" w:hAnsi="宋体" w:cs="Calibri"/>
          <w:sz w:val="24"/>
          <w:szCs w:val="24"/>
        </w:rPr>
      </w:pPr>
      <w:r w:rsidRPr="00A83CFD">
        <w:rPr>
          <w:rFonts w:ascii="宋体" w:eastAsia="宋体" w:hAnsi="宋体" w:cs="Calibri" w:hint="eastAsia"/>
          <w:sz w:val="24"/>
          <w:szCs w:val="24"/>
        </w:rPr>
        <w:t>因本项目采取一次规划分期建设模式。因土地分批供应等因素，本次招标服务项目服务期限较长，请投标人重点考虑此项风险，中标后不得就超长服务期限提出任何索赔以及拒绝提供服务要求。</w:t>
      </w:r>
    </w:p>
    <w:p w:rsidR="001706E7" w:rsidRPr="00A83CFD" w:rsidRDefault="001706E7">
      <w:pPr>
        <w:spacing w:line="360" w:lineRule="auto"/>
        <w:ind w:firstLine="437"/>
        <w:rPr>
          <w:rFonts w:ascii="宋体" w:eastAsia="宋体" w:hAnsi="宋体"/>
          <w:b/>
          <w:sz w:val="24"/>
          <w:szCs w:val="18"/>
        </w:rPr>
      </w:pPr>
    </w:p>
    <w:p w:rsidR="001706E7" w:rsidRDefault="001706E7">
      <w:pPr>
        <w:spacing w:line="360" w:lineRule="auto"/>
        <w:ind w:firstLine="437"/>
        <w:rPr>
          <w:rFonts w:ascii="宋体" w:eastAsia="宋体" w:hAnsi="宋体"/>
          <w:b/>
          <w:sz w:val="24"/>
          <w:szCs w:val="18"/>
        </w:rPr>
      </w:pPr>
    </w:p>
    <w:bookmarkEnd w:id="1"/>
    <w:bookmarkEnd w:id="3"/>
    <w:p w:rsidR="001706E7" w:rsidRDefault="001706E7" w:rsidP="00C27D33">
      <w:pPr>
        <w:spacing w:line="360" w:lineRule="auto"/>
        <w:rPr>
          <w:rFonts w:asciiTheme="minorEastAsia" w:eastAsiaTheme="minorEastAsia" w:hAnsiTheme="minorEastAsia"/>
          <w:sz w:val="24"/>
        </w:rPr>
      </w:pPr>
    </w:p>
    <w:sectPr w:rsidR="001706E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74" w:rsidRDefault="00285274">
      <w:r>
        <w:separator/>
      </w:r>
    </w:p>
  </w:endnote>
  <w:endnote w:type="continuationSeparator" w:id="0">
    <w:p w:rsidR="00285274" w:rsidRDefault="002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74" w:rsidRDefault="00285274">
    <w:pPr>
      <w:pStyle w:val="a8"/>
      <w:jc w:val="center"/>
      <w:rPr>
        <w:rFonts w:asciiTheme="minorEastAsia" w:eastAsiaTheme="minorEastAsia" w:hAnsiTheme="minorEastAsia"/>
        <w:sz w:val="21"/>
        <w:szCs w:val="21"/>
      </w:rPr>
    </w:pPr>
    <w:r>
      <w:rPr>
        <w:rFonts w:asciiTheme="minorEastAsia" w:eastAsiaTheme="minorEastAsia" w:hAnsiTheme="minorEastAsia"/>
        <w:sz w:val="21"/>
        <w:szCs w:val="21"/>
      </w:rPr>
      <w:t>第</w:t>
    </w:r>
    <w:sdt>
      <w:sdtPr>
        <w:rPr>
          <w:rFonts w:asciiTheme="minorEastAsia" w:eastAsiaTheme="minorEastAsia" w:hAnsiTheme="minorEastAsia"/>
          <w:sz w:val="21"/>
          <w:szCs w:val="21"/>
        </w:rPr>
        <w:id w:val="-864518636"/>
      </w:sdtPr>
      <w:sdtEndPr/>
      <w:sdtContent>
        <w:sdt>
          <w:sdtPr>
            <w:rPr>
              <w:rFonts w:asciiTheme="minorEastAsia" w:eastAsiaTheme="minorEastAsia" w:hAnsiTheme="minorEastAsia"/>
              <w:sz w:val="21"/>
              <w:szCs w:val="21"/>
            </w:rPr>
            <w:id w:val="-1669238322"/>
          </w:sdtPr>
          <w:sdtEndPr/>
          <w:sdtContent>
            <w:r>
              <w:rPr>
                <w:rFonts w:asciiTheme="minorEastAsia" w:eastAsiaTheme="minorEastAsia" w:hAnsiTheme="minorEastAsia"/>
                <w:sz w:val="21"/>
                <w:szCs w:val="21"/>
                <w:lang w:val="zh-CN"/>
              </w:rPr>
              <w:t xml:space="preserve">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PAGE</w:instrText>
            </w:r>
            <w:r>
              <w:rPr>
                <w:rFonts w:asciiTheme="minorEastAsia" w:eastAsiaTheme="minorEastAsia" w:hAnsiTheme="minorEastAsia"/>
                <w:b/>
                <w:bCs/>
                <w:sz w:val="21"/>
                <w:szCs w:val="21"/>
              </w:rPr>
              <w:fldChar w:fldCharType="separate"/>
            </w:r>
            <w:r w:rsidR="00347B56">
              <w:rPr>
                <w:rFonts w:asciiTheme="minorEastAsia" w:eastAsiaTheme="minorEastAsia" w:hAnsiTheme="minorEastAsia"/>
                <w:b/>
                <w:bCs/>
                <w:noProof/>
                <w:sz w:val="21"/>
                <w:szCs w:val="21"/>
              </w:rPr>
              <w:t>9</w:t>
            </w:r>
            <w:r>
              <w:rPr>
                <w:rFonts w:asciiTheme="minorEastAsia" w:eastAsiaTheme="minorEastAsia" w:hAnsiTheme="minorEastAsia"/>
                <w:b/>
                <w:bCs/>
                <w:sz w:val="21"/>
                <w:szCs w:val="21"/>
              </w:rPr>
              <w:fldChar w:fldCharType="end"/>
            </w:r>
            <w:r>
              <w:rPr>
                <w:rFonts w:asciiTheme="minorEastAsia" w:eastAsiaTheme="minorEastAsia" w:hAnsiTheme="minorEastAsia"/>
                <w:sz w:val="21"/>
                <w:szCs w:val="21"/>
                <w:lang w:val="zh-CN"/>
              </w:rPr>
              <w:t xml:space="preserve"> 页/共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 xml:space="preserve"> </w:instrText>
            </w:r>
            <w:r>
              <w:rPr>
                <w:rFonts w:asciiTheme="minorEastAsia" w:eastAsiaTheme="minorEastAsia" w:hAnsiTheme="minorEastAsia" w:hint="eastAsia"/>
                <w:b/>
                <w:bCs/>
                <w:sz w:val="21"/>
                <w:szCs w:val="21"/>
              </w:rPr>
              <w:instrText>=</w:instrTex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NUMPAGES</w:instrText>
            </w:r>
            <w:r>
              <w:rPr>
                <w:rFonts w:asciiTheme="minorEastAsia" w:eastAsiaTheme="minorEastAsia" w:hAnsiTheme="minorEastAsia"/>
                <w:b/>
                <w:bCs/>
                <w:sz w:val="21"/>
                <w:szCs w:val="21"/>
              </w:rPr>
              <w:fldChar w:fldCharType="separate"/>
            </w:r>
            <w:r w:rsidR="00347B56">
              <w:rPr>
                <w:rFonts w:asciiTheme="minorEastAsia" w:eastAsiaTheme="minorEastAsia" w:hAnsiTheme="minorEastAsia"/>
                <w:b/>
                <w:bCs/>
                <w:noProof/>
                <w:sz w:val="21"/>
                <w:szCs w:val="21"/>
              </w:rPr>
              <w:instrText>9</w:instrText>
            </w:r>
            <w:r>
              <w:rPr>
                <w:rFonts w:asciiTheme="minorEastAsia" w:eastAsiaTheme="minorEastAsia" w:hAnsiTheme="minorEastAsia"/>
                <w:b/>
                <w:bCs/>
                <w:sz w:val="21"/>
                <w:szCs w:val="21"/>
              </w:rPr>
              <w:fldChar w:fldCharType="end"/>
            </w:r>
            <w:r>
              <w:rPr>
                <w:rFonts w:asciiTheme="minorEastAsia" w:eastAsiaTheme="minorEastAsia" w:hAnsiTheme="minorEastAsia" w:hint="eastAsia"/>
                <w:b/>
                <w:bCs/>
                <w:sz w:val="21"/>
                <w:szCs w:val="21"/>
              </w:rPr>
              <w:instrText>-2</w:instrText>
            </w:r>
            <w:r>
              <w:rPr>
                <w:rFonts w:asciiTheme="minorEastAsia" w:eastAsiaTheme="minorEastAsia" w:hAnsiTheme="minorEastAsia"/>
                <w:b/>
                <w:bCs/>
                <w:sz w:val="21"/>
                <w:szCs w:val="21"/>
              </w:rPr>
              <w:instrText xml:space="preserve"> </w:instrText>
            </w:r>
            <w:r>
              <w:rPr>
                <w:rFonts w:asciiTheme="minorEastAsia" w:eastAsiaTheme="minorEastAsia" w:hAnsiTheme="minorEastAsia"/>
                <w:b/>
                <w:bCs/>
                <w:sz w:val="21"/>
                <w:szCs w:val="21"/>
              </w:rPr>
              <w:fldChar w:fldCharType="separate"/>
            </w:r>
            <w:r w:rsidR="00347B56">
              <w:rPr>
                <w:rFonts w:asciiTheme="minorEastAsia" w:eastAsiaTheme="minorEastAsia" w:hAnsiTheme="minorEastAsia"/>
                <w:b/>
                <w:bCs/>
                <w:noProof/>
                <w:sz w:val="21"/>
                <w:szCs w:val="21"/>
              </w:rPr>
              <w:t>7</w:t>
            </w:r>
            <w:r>
              <w:rPr>
                <w:rFonts w:asciiTheme="minorEastAsia" w:eastAsiaTheme="minorEastAsia" w:hAnsiTheme="minorEastAsia"/>
                <w:b/>
                <w:bCs/>
                <w:sz w:val="21"/>
                <w:szCs w:val="21"/>
              </w:rPr>
              <w:fldChar w:fldCharType="end"/>
            </w:r>
          </w:sdtContent>
        </w:sdt>
        <w:r>
          <w:rPr>
            <w:rFonts w:asciiTheme="minorEastAsia" w:eastAsiaTheme="minorEastAsia" w:hAnsiTheme="minorEastAsia" w:hint="eastAsia"/>
            <w:sz w:val="21"/>
            <w:szCs w:val="21"/>
          </w:rPr>
          <w:t xml:space="preserve"> 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74" w:rsidRDefault="00285274">
      <w:r>
        <w:separator/>
      </w:r>
    </w:p>
  </w:footnote>
  <w:footnote w:type="continuationSeparator" w:id="0">
    <w:p w:rsidR="00285274" w:rsidRDefault="0028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12B40"/>
    <w:multiLevelType w:val="singleLevel"/>
    <w:tmpl w:val="DAE12B40"/>
    <w:lvl w:ilvl="0">
      <w:start w:val="1"/>
      <w:numFmt w:val="decimal"/>
      <w:suff w:val="nothing"/>
      <w:lvlText w:val="%1、"/>
      <w:lvlJc w:val="left"/>
    </w:lvl>
  </w:abstractNum>
  <w:abstractNum w:abstractNumId="1">
    <w:nsid w:val="419F0A51"/>
    <w:multiLevelType w:val="singleLevel"/>
    <w:tmpl w:val="419F0A51"/>
    <w:lvl w:ilvl="0">
      <w:start w:val="1"/>
      <w:numFmt w:val="decimal"/>
      <w:suff w:val="nothing"/>
      <w:lvlText w:val="%1、"/>
      <w:lvlJc w:val="left"/>
    </w:lvl>
  </w:abstractNum>
  <w:abstractNum w:abstractNumId="2">
    <w:nsid w:val="5D4A3AE2"/>
    <w:multiLevelType w:val="singleLevel"/>
    <w:tmpl w:val="5D4A3AE2"/>
    <w:lvl w:ilvl="0">
      <w:start w:val="1"/>
      <w:numFmt w:val="decimal"/>
      <w:lvlText w:val="(%1)"/>
      <w:lvlJc w:val="left"/>
      <w:pPr>
        <w:tabs>
          <w:tab w:val="left" w:pos="960"/>
        </w:tabs>
        <w:ind w:left="960" w:hanging="465"/>
      </w:pPr>
    </w:lvl>
  </w:abstractNum>
  <w:abstractNum w:abstractNumId="3">
    <w:nsid w:val="606ACFD2"/>
    <w:multiLevelType w:val="singleLevel"/>
    <w:tmpl w:val="606ACFD2"/>
    <w:lvl w:ilvl="0">
      <w:start w:val="1"/>
      <w:numFmt w:val="chineseCounting"/>
      <w:suff w:val="nothing"/>
      <w:lvlText w:val="%1、"/>
      <w:lvlJc w:val="left"/>
      <w:rPr>
        <w:rFonts w:hint="eastAsia"/>
      </w:rPr>
    </w:lvl>
  </w:abstractNum>
  <w:num w:numId="1">
    <w:abstractNumId w:val="2"/>
    <w:lvlOverride w:ilvl="0">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37F9"/>
    <w:rsid w:val="000049DA"/>
    <w:rsid w:val="000056B7"/>
    <w:rsid w:val="000131F7"/>
    <w:rsid w:val="00014039"/>
    <w:rsid w:val="00016B6C"/>
    <w:rsid w:val="00020B57"/>
    <w:rsid w:val="00022A2B"/>
    <w:rsid w:val="00041860"/>
    <w:rsid w:val="00042139"/>
    <w:rsid w:val="00042B14"/>
    <w:rsid w:val="00044F49"/>
    <w:rsid w:val="000450C3"/>
    <w:rsid w:val="00050A3F"/>
    <w:rsid w:val="000648D2"/>
    <w:rsid w:val="00070E0E"/>
    <w:rsid w:val="0007307D"/>
    <w:rsid w:val="00076DB7"/>
    <w:rsid w:val="00080FEB"/>
    <w:rsid w:val="000819BB"/>
    <w:rsid w:val="00084E1F"/>
    <w:rsid w:val="00094D41"/>
    <w:rsid w:val="00097CB9"/>
    <w:rsid w:val="000A6693"/>
    <w:rsid w:val="000A7970"/>
    <w:rsid w:val="000A7D94"/>
    <w:rsid w:val="000B1511"/>
    <w:rsid w:val="000B6823"/>
    <w:rsid w:val="000C1DB1"/>
    <w:rsid w:val="000D0D73"/>
    <w:rsid w:val="000D3F37"/>
    <w:rsid w:val="000E0947"/>
    <w:rsid w:val="000E3C74"/>
    <w:rsid w:val="000E3F9B"/>
    <w:rsid w:val="000E6689"/>
    <w:rsid w:val="000E6727"/>
    <w:rsid w:val="000E6A4A"/>
    <w:rsid w:val="000F172B"/>
    <w:rsid w:val="000F2198"/>
    <w:rsid w:val="000F39B6"/>
    <w:rsid w:val="000F6B7B"/>
    <w:rsid w:val="000F7317"/>
    <w:rsid w:val="00100B0F"/>
    <w:rsid w:val="0010187C"/>
    <w:rsid w:val="001037E3"/>
    <w:rsid w:val="00107661"/>
    <w:rsid w:val="0012143A"/>
    <w:rsid w:val="00137887"/>
    <w:rsid w:val="00140687"/>
    <w:rsid w:val="00146421"/>
    <w:rsid w:val="00146DC6"/>
    <w:rsid w:val="00155F64"/>
    <w:rsid w:val="00157856"/>
    <w:rsid w:val="00160729"/>
    <w:rsid w:val="00161637"/>
    <w:rsid w:val="00166ED8"/>
    <w:rsid w:val="001706E7"/>
    <w:rsid w:val="001714C9"/>
    <w:rsid w:val="0018119B"/>
    <w:rsid w:val="001844AB"/>
    <w:rsid w:val="001853C7"/>
    <w:rsid w:val="001944B8"/>
    <w:rsid w:val="00196DA3"/>
    <w:rsid w:val="001A68E5"/>
    <w:rsid w:val="001B2A54"/>
    <w:rsid w:val="001B5014"/>
    <w:rsid w:val="001B7327"/>
    <w:rsid w:val="001C3EBE"/>
    <w:rsid w:val="001D22EA"/>
    <w:rsid w:val="001D53B4"/>
    <w:rsid w:val="001E63AD"/>
    <w:rsid w:val="001F28D2"/>
    <w:rsid w:val="001F2F45"/>
    <w:rsid w:val="001F3023"/>
    <w:rsid w:val="001F35F6"/>
    <w:rsid w:val="001F74CA"/>
    <w:rsid w:val="002003B6"/>
    <w:rsid w:val="00201F4E"/>
    <w:rsid w:val="0020244A"/>
    <w:rsid w:val="002049B4"/>
    <w:rsid w:val="0020520B"/>
    <w:rsid w:val="002076AD"/>
    <w:rsid w:val="00213C55"/>
    <w:rsid w:val="00220207"/>
    <w:rsid w:val="00223CF4"/>
    <w:rsid w:val="00224C4A"/>
    <w:rsid w:val="0023407E"/>
    <w:rsid w:val="00240B40"/>
    <w:rsid w:val="00244182"/>
    <w:rsid w:val="00245629"/>
    <w:rsid w:val="0025582D"/>
    <w:rsid w:val="00260B94"/>
    <w:rsid w:val="00264F2E"/>
    <w:rsid w:val="002707AF"/>
    <w:rsid w:val="00271245"/>
    <w:rsid w:val="00274A9E"/>
    <w:rsid w:val="0027532D"/>
    <w:rsid w:val="00276BA1"/>
    <w:rsid w:val="00284B7A"/>
    <w:rsid w:val="00285274"/>
    <w:rsid w:val="00294C71"/>
    <w:rsid w:val="002A1A1D"/>
    <w:rsid w:val="002A28AD"/>
    <w:rsid w:val="002A2A61"/>
    <w:rsid w:val="002A56A0"/>
    <w:rsid w:val="002B47FB"/>
    <w:rsid w:val="002B5318"/>
    <w:rsid w:val="002B6D27"/>
    <w:rsid w:val="002D2965"/>
    <w:rsid w:val="002D3D02"/>
    <w:rsid w:val="002D4CB5"/>
    <w:rsid w:val="002D6335"/>
    <w:rsid w:val="002D684B"/>
    <w:rsid w:val="002E1E8D"/>
    <w:rsid w:val="002E3B26"/>
    <w:rsid w:val="002E4AB8"/>
    <w:rsid w:val="002E7FC4"/>
    <w:rsid w:val="002F605E"/>
    <w:rsid w:val="00310070"/>
    <w:rsid w:val="003110EC"/>
    <w:rsid w:val="00312A45"/>
    <w:rsid w:val="003137EC"/>
    <w:rsid w:val="003206A6"/>
    <w:rsid w:val="0032560D"/>
    <w:rsid w:val="0032586C"/>
    <w:rsid w:val="00326593"/>
    <w:rsid w:val="00327C92"/>
    <w:rsid w:val="00331D3D"/>
    <w:rsid w:val="00333292"/>
    <w:rsid w:val="003344E7"/>
    <w:rsid w:val="0033580B"/>
    <w:rsid w:val="003365E7"/>
    <w:rsid w:val="003378D5"/>
    <w:rsid w:val="0034328B"/>
    <w:rsid w:val="003473D7"/>
    <w:rsid w:val="00347B56"/>
    <w:rsid w:val="0035048C"/>
    <w:rsid w:val="00351AC8"/>
    <w:rsid w:val="00353075"/>
    <w:rsid w:val="00356D4B"/>
    <w:rsid w:val="00363E02"/>
    <w:rsid w:val="00366036"/>
    <w:rsid w:val="00373A96"/>
    <w:rsid w:val="003826C2"/>
    <w:rsid w:val="00382776"/>
    <w:rsid w:val="00382D45"/>
    <w:rsid w:val="00383728"/>
    <w:rsid w:val="003903BB"/>
    <w:rsid w:val="00390C34"/>
    <w:rsid w:val="00394128"/>
    <w:rsid w:val="003942CA"/>
    <w:rsid w:val="00394ADC"/>
    <w:rsid w:val="00395235"/>
    <w:rsid w:val="003955F8"/>
    <w:rsid w:val="0039561A"/>
    <w:rsid w:val="00397C7D"/>
    <w:rsid w:val="003A004F"/>
    <w:rsid w:val="003B4130"/>
    <w:rsid w:val="003B4D1C"/>
    <w:rsid w:val="003B715B"/>
    <w:rsid w:val="003C4A18"/>
    <w:rsid w:val="003D0344"/>
    <w:rsid w:val="003D0934"/>
    <w:rsid w:val="003D1D14"/>
    <w:rsid w:val="003D6C7C"/>
    <w:rsid w:val="003D6EFB"/>
    <w:rsid w:val="003D7E52"/>
    <w:rsid w:val="003E17A4"/>
    <w:rsid w:val="003E1D4D"/>
    <w:rsid w:val="003E25C6"/>
    <w:rsid w:val="003F46D6"/>
    <w:rsid w:val="004011AA"/>
    <w:rsid w:val="0040202C"/>
    <w:rsid w:val="00404423"/>
    <w:rsid w:val="00406508"/>
    <w:rsid w:val="0041456E"/>
    <w:rsid w:val="00414F7E"/>
    <w:rsid w:val="00416380"/>
    <w:rsid w:val="004164F8"/>
    <w:rsid w:val="0041737A"/>
    <w:rsid w:val="00424EB2"/>
    <w:rsid w:val="0042625C"/>
    <w:rsid w:val="00426F05"/>
    <w:rsid w:val="00431BAE"/>
    <w:rsid w:val="004410D9"/>
    <w:rsid w:val="004427B7"/>
    <w:rsid w:val="0044349F"/>
    <w:rsid w:val="00445F1F"/>
    <w:rsid w:val="00447EFA"/>
    <w:rsid w:val="0045146B"/>
    <w:rsid w:val="00451F60"/>
    <w:rsid w:val="00452BB2"/>
    <w:rsid w:val="00455968"/>
    <w:rsid w:val="0045656D"/>
    <w:rsid w:val="004610AA"/>
    <w:rsid w:val="00462D98"/>
    <w:rsid w:val="00472A44"/>
    <w:rsid w:val="00473A89"/>
    <w:rsid w:val="00475899"/>
    <w:rsid w:val="00482C78"/>
    <w:rsid w:val="004874AE"/>
    <w:rsid w:val="00494D24"/>
    <w:rsid w:val="004951D1"/>
    <w:rsid w:val="004960BB"/>
    <w:rsid w:val="004A0FDA"/>
    <w:rsid w:val="004A1D01"/>
    <w:rsid w:val="004A27D0"/>
    <w:rsid w:val="004A4D67"/>
    <w:rsid w:val="004B1E17"/>
    <w:rsid w:val="004B24D8"/>
    <w:rsid w:val="004B76B8"/>
    <w:rsid w:val="004D3D4B"/>
    <w:rsid w:val="004D5498"/>
    <w:rsid w:val="004D66A5"/>
    <w:rsid w:val="004D6B00"/>
    <w:rsid w:val="004E1D50"/>
    <w:rsid w:val="004E6ACC"/>
    <w:rsid w:val="00501382"/>
    <w:rsid w:val="00510798"/>
    <w:rsid w:val="0051413A"/>
    <w:rsid w:val="005229BF"/>
    <w:rsid w:val="00523AF8"/>
    <w:rsid w:val="00524616"/>
    <w:rsid w:val="00524A11"/>
    <w:rsid w:val="00524E61"/>
    <w:rsid w:val="00527768"/>
    <w:rsid w:val="005327FB"/>
    <w:rsid w:val="00533FCA"/>
    <w:rsid w:val="00535F40"/>
    <w:rsid w:val="00541AD3"/>
    <w:rsid w:val="005616B5"/>
    <w:rsid w:val="0056553C"/>
    <w:rsid w:val="0059223D"/>
    <w:rsid w:val="00593DB8"/>
    <w:rsid w:val="00597B15"/>
    <w:rsid w:val="005A044C"/>
    <w:rsid w:val="005A59E6"/>
    <w:rsid w:val="005A6058"/>
    <w:rsid w:val="005B2FD2"/>
    <w:rsid w:val="005B34C9"/>
    <w:rsid w:val="005D0200"/>
    <w:rsid w:val="005D44EF"/>
    <w:rsid w:val="005D5112"/>
    <w:rsid w:val="005D72A8"/>
    <w:rsid w:val="005E7A3F"/>
    <w:rsid w:val="005F2C15"/>
    <w:rsid w:val="005F3914"/>
    <w:rsid w:val="005F3B5A"/>
    <w:rsid w:val="005F6AB4"/>
    <w:rsid w:val="00606DAB"/>
    <w:rsid w:val="00607471"/>
    <w:rsid w:val="00610A66"/>
    <w:rsid w:val="00611B06"/>
    <w:rsid w:val="00613177"/>
    <w:rsid w:val="00613F7C"/>
    <w:rsid w:val="00614BF2"/>
    <w:rsid w:val="00623DE2"/>
    <w:rsid w:val="00624576"/>
    <w:rsid w:val="00627601"/>
    <w:rsid w:val="006300D0"/>
    <w:rsid w:val="00632012"/>
    <w:rsid w:val="00634694"/>
    <w:rsid w:val="00636517"/>
    <w:rsid w:val="00637690"/>
    <w:rsid w:val="00637EE7"/>
    <w:rsid w:val="006401B8"/>
    <w:rsid w:val="00640E1E"/>
    <w:rsid w:val="0064389A"/>
    <w:rsid w:val="00645442"/>
    <w:rsid w:val="006525CD"/>
    <w:rsid w:val="00653F7F"/>
    <w:rsid w:val="00654284"/>
    <w:rsid w:val="006558EC"/>
    <w:rsid w:val="00656C65"/>
    <w:rsid w:val="006606E4"/>
    <w:rsid w:val="00662EE8"/>
    <w:rsid w:val="00663813"/>
    <w:rsid w:val="00664AFD"/>
    <w:rsid w:val="00667567"/>
    <w:rsid w:val="00672CC7"/>
    <w:rsid w:val="0067391A"/>
    <w:rsid w:val="00674173"/>
    <w:rsid w:val="006752DE"/>
    <w:rsid w:val="00677EC2"/>
    <w:rsid w:val="00690DB1"/>
    <w:rsid w:val="00693404"/>
    <w:rsid w:val="006953D9"/>
    <w:rsid w:val="006A3251"/>
    <w:rsid w:val="006B09B5"/>
    <w:rsid w:val="006B1242"/>
    <w:rsid w:val="006B149D"/>
    <w:rsid w:val="006B1DBC"/>
    <w:rsid w:val="006B39B2"/>
    <w:rsid w:val="006B7D9A"/>
    <w:rsid w:val="006C06D9"/>
    <w:rsid w:val="006C5702"/>
    <w:rsid w:val="006C5716"/>
    <w:rsid w:val="006C64B2"/>
    <w:rsid w:val="006C74A9"/>
    <w:rsid w:val="006D07DE"/>
    <w:rsid w:val="006D453B"/>
    <w:rsid w:val="006E06D9"/>
    <w:rsid w:val="006E1D40"/>
    <w:rsid w:val="006E2E1F"/>
    <w:rsid w:val="006E5D64"/>
    <w:rsid w:val="006F3839"/>
    <w:rsid w:val="006F5F03"/>
    <w:rsid w:val="006F5FFF"/>
    <w:rsid w:val="00710804"/>
    <w:rsid w:val="00711FC6"/>
    <w:rsid w:val="007130B1"/>
    <w:rsid w:val="00715071"/>
    <w:rsid w:val="00722169"/>
    <w:rsid w:val="007231E9"/>
    <w:rsid w:val="00723D8B"/>
    <w:rsid w:val="00727C59"/>
    <w:rsid w:val="0073496D"/>
    <w:rsid w:val="00734E5D"/>
    <w:rsid w:val="00736013"/>
    <w:rsid w:val="00756245"/>
    <w:rsid w:val="00761662"/>
    <w:rsid w:val="00763E27"/>
    <w:rsid w:val="00764043"/>
    <w:rsid w:val="007757CF"/>
    <w:rsid w:val="0078128F"/>
    <w:rsid w:val="00784A79"/>
    <w:rsid w:val="0078683C"/>
    <w:rsid w:val="00790EDB"/>
    <w:rsid w:val="00791538"/>
    <w:rsid w:val="0079326E"/>
    <w:rsid w:val="00796EDE"/>
    <w:rsid w:val="007A511E"/>
    <w:rsid w:val="007A5A58"/>
    <w:rsid w:val="007B14D1"/>
    <w:rsid w:val="007B1C56"/>
    <w:rsid w:val="007B666E"/>
    <w:rsid w:val="007C3CD5"/>
    <w:rsid w:val="007C61EF"/>
    <w:rsid w:val="007D1C0D"/>
    <w:rsid w:val="007D2D23"/>
    <w:rsid w:val="007E27D6"/>
    <w:rsid w:val="007E3921"/>
    <w:rsid w:val="007F3D4B"/>
    <w:rsid w:val="00801028"/>
    <w:rsid w:val="00803793"/>
    <w:rsid w:val="00804000"/>
    <w:rsid w:val="0080656A"/>
    <w:rsid w:val="00817A01"/>
    <w:rsid w:val="00825E35"/>
    <w:rsid w:val="008263EB"/>
    <w:rsid w:val="00830A4E"/>
    <w:rsid w:val="008334F8"/>
    <w:rsid w:val="008340E9"/>
    <w:rsid w:val="00835FFD"/>
    <w:rsid w:val="00837808"/>
    <w:rsid w:val="00845495"/>
    <w:rsid w:val="008552AA"/>
    <w:rsid w:val="0086440C"/>
    <w:rsid w:val="008658BC"/>
    <w:rsid w:val="00866F91"/>
    <w:rsid w:val="00875542"/>
    <w:rsid w:val="00876659"/>
    <w:rsid w:val="0087734C"/>
    <w:rsid w:val="00882141"/>
    <w:rsid w:val="008876EC"/>
    <w:rsid w:val="008922A8"/>
    <w:rsid w:val="008953C5"/>
    <w:rsid w:val="00895BD5"/>
    <w:rsid w:val="008A14F4"/>
    <w:rsid w:val="008A16C4"/>
    <w:rsid w:val="008A4525"/>
    <w:rsid w:val="008A4B8C"/>
    <w:rsid w:val="008A6FED"/>
    <w:rsid w:val="008B39C5"/>
    <w:rsid w:val="008B51AA"/>
    <w:rsid w:val="008C67F2"/>
    <w:rsid w:val="008D064A"/>
    <w:rsid w:val="008D2B0F"/>
    <w:rsid w:val="008D5986"/>
    <w:rsid w:val="008E449E"/>
    <w:rsid w:val="008F187F"/>
    <w:rsid w:val="008F37DC"/>
    <w:rsid w:val="008F402F"/>
    <w:rsid w:val="008F76E8"/>
    <w:rsid w:val="0090050D"/>
    <w:rsid w:val="009078A1"/>
    <w:rsid w:val="009100E5"/>
    <w:rsid w:val="00911E9C"/>
    <w:rsid w:val="00917405"/>
    <w:rsid w:val="00917F22"/>
    <w:rsid w:val="00920F7C"/>
    <w:rsid w:val="009267A8"/>
    <w:rsid w:val="009271E5"/>
    <w:rsid w:val="00934CAE"/>
    <w:rsid w:val="0094257D"/>
    <w:rsid w:val="0095467C"/>
    <w:rsid w:val="00954853"/>
    <w:rsid w:val="00954A61"/>
    <w:rsid w:val="009553C6"/>
    <w:rsid w:val="00955C6F"/>
    <w:rsid w:val="009621C6"/>
    <w:rsid w:val="00966C7B"/>
    <w:rsid w:val="009701DC"/>
    <w:rsid w:val="009715D8"/>
    <w:rsid w:val="00980063"/>
    <w:rsid w:val="00995BF9"/>
    <w:rsid w:val="009A0CAF"/>
    <w:rsid w:val="009A2207"/>
    <w:rsid w:val="009A71BB"/>
    <w:rsid w:val="009B6C42"/>
    <w:rsid w:val="009C0B81"/>
    <w:rsid w:val="009D2998"/>
    <w:rsid w:val="009D31F7"/>
    <w:rsid w:val="009D32C2"/>
    <w:rsid w:val="009D42A3"/>
    <w:rsid w:val="009D50DB"/>
    <w:rsid w:val="009E2932"/>
    <w:rsid w:val="009E2EFA"/>
    <w:rsid w:val="009E3A0A"/>
    <w:rsid w:val="009F2855"/>
    <w:rsid w:val="009F3E91"/>
    <w:rsid w:val="00A003DE"/>
    <w:rsid w:val="00A1499B"/>
    <w:rsid w:val="00A22D57"/>
    <w:rsid w:val="00A314C2"/>
    <w:rsid w:val="00A3192F"/>
    <w:rsid w:val="00A56319"/>
    <w:rsid w:val="00A63E86"/>
    <w:rsid w:val="00A6485B"/>
    <w:rsid w:val="00A757C3"/>
    <w:rsid w:val="00A75E5B"/>
    <w:rsid w:val="00A7684A"/>
    <w:rsid w:val="00A83B69"/>
    <w:rsid w:val="00A83CFD"/>
    <w:rsid w:val="00A86533"/>
    <w:rsid w:val="00A91BFC"/>
    <w:rsid w:val="00A91CA2"/>
    <w:rsid w:val="00A92FB8"/>
    <w:rsid w:val="00A948F1"/>
    <w:rsid w:val="00AA18F9"/>
    <w:rsid w:val="00AA1D7D"/>
    <w:rsid w:val="00AA2790"/>
    <w:rsid w:val="00AB139D"/>
    <w:rsid w:val="00AB3EFB"/>
    <w:rsid w:val="00AC0B05"/>
    <w:rsid w:val="00AC4353"/>
    <w:rsid w:val="00AD079A"/>
    <w:rsid w:val="00AD1890"/>
    <w:rsid w:val="00AD3C0A"/>
    <w:rsid w:val="00AE2149"/>
    <w:rsid w:val="00AE33AE"/>
    <w:rsid w:val="00AE3F91"/>
    <w:rsid w:val="00B0053D"/>
    <w:rsid w:val="00B039E3"/>
    <w:rsid w:val="00B06568"/>
    <w:rsid w:val="00B06D36"/>
    <w:rsid w:val="00B22838"/>
    <w:rsid w:val="00B33E95"/>
    <w:rsid w:val="00B3720B"/>
    <w:rsid w:val="00B4013B"/>
    <w:rsid w:val="00B5558A"/>
    <w:rsid w:val="00B56513"/>
    <w:rsid w:val="00B64376"/>
    <w:rsid w:val="00B7401F"/>
    <w:rsid w:val="00B806C3"/>
    <w:rsid w:val="00B80D6F"/>
    <w:rsid w:val="00B84FCA"/>
    <w:rsid w:val="00B9089F"/>
    <w:rsid w:val="00B91AEE"/>
    <w:rsid w:val="00B95F5A"/>
    <w:rsid w:val="00B95FDD"/>
    <w:rsid w:val="00B96EAD"/>
    <w:rsid w:val="00BA636F"/>
    <w:rsid w:val="00BA645B"/>
    <w:rsid w:val="00BA6A5B"/>
    <w:rsid w:val="00BA79F5"/>
    <w:rsid w:val="00BB0907"/>
    <w:rsid w:val="00BB0B75"/>
    <w:rsid w:val="00BB3AB6"/>
    <w:rsid w:val="00BB766D"/>
    <w:rsid w:val="00BC007B"/>
    <w:rsid w:val="00BC26BA"/>
    <w:rsid w:val="00BC35F8"/>
    <w:rsid w:val="00BC7D7F"/>
    <w:rsid w:val="00BD33A9"/>
    <w:rsid w:val="00BF376F"/>
    <w:rsid w:val="00BF46A6"/>
    <w:rsid w:val="00BF71FB"/>
    <w:rsid w:val="00C06545"/>
    <w:rsid w:val="00C108CF"/>
    <w:rsid w:val="00C13197"/>
    <w:rsid w:val="00C134AF"/>
    <w:rsid w:val="00C220FC"/>
    <w:rsid w:val="00C240B6"/>
    <w:rsid w:val="00C24943"/>
    <w:rsid w:val="00C24DFA"/>
    <w:rsid w:val="00C27D33"/>
    <w:rsid w:val="00C30182"/>
    <w:rsid w:val="00C321A2"/>
    <w:rsid w:val="00C37BC4"/>
    <w:rsid w:val="00C4138D"/>
    <w:rsid w:val="00C46A36"/>
    <w:rsid w:val="00C47037"/>
    <w:rsid w:val="00C53625"/>
    <w:rsid w:val="00C548BA"/>
    <w:rsid w:val="00C57784"/>
    <w:rsid w:val="00C602C1"/>
    <w:rsid w:val="00C60392"/>
    <w:rsid w:val="00C63FC0"/>
    <w:rsid w:val="00C66392"/>
    <w:rsid w:val="00C67B2C"/>
    <w:rsid w:val="00C74C5E"/>
    <w:rsid w:val="00C827A2"/>
    <w:rsid w:val="00C827DA"/>
    <w:rsid w:val="00C82B69"/>
    <w:rsid w:val="00C902DE"/>
    <w:rsid w:val="00C91B28"/>
    <w:rsid w:val="00C91F3A"/>
    <w:rsid w:val="00C96192"/>
    <w:rsid w:val="00CB20B2"/>
    <w:rsid w:val="00CB218D"/>
    <w:rsid w:val="00CB5797"/>
    <w:rsid w:val="00CC6E5D"/>
    <w:rsid w:val="00CD09E1"/>
    <w:rsid w:val="00CD137B"/>
    <w:rsid w:val="00CE1780"/>
    <w:rsid w:val="00CE4913"/>
    <w:rsid w:val="00CE66BD"/>
    <w:rsid w:val="00CF0671"/>
    <w:rsid w:val="00CF44AD"/>
    <w:rsid w:val="00CF4FC0"/>
    <w:rsid w:val="00D00336"/>
    <w:rsid w:val="00D027E0"/>
    <w:rsid w:val="00D1072F"/>
    <w:rsid w:val="00D108A5"/>
    <w:rsid w:val="00D14585"/>
    <w:rsid w:val="00D20EFF"/>
    <w:rsid w:val="00D32658"/>
    <w:rsid w:val="00D42C58"/>
    <w:rsid w:val="00D46B47"/>
    <w:rsid w:val="00D53ED8"/>
    <w:rsid w:val="00D64857"/>
    <w:rsid w:val="00D6493A"/>
    <w:rsid w:val="00D67875"/>
    <w:rsid w:val="00D71E86"/>
    <w:rsid w:val="00D731C6"/>
    <w:rsid w:val="00D73CC6"/>
    <w:rsid w:val="00D745C5"/>
    <w:rsid w:val="00D75327"/>
    <w:rsid w:val="00D761CB"/>
    <w:rsid w:val="00D80C36"/>
    <w:rsid w:val="00D81A32"/>
    <w:rsid w:val="00D847D5"/>
    <w:rsid w:val="00D84E23"/>
    <w:rsid w:val="00D86EE1"/>
    <w:rsid w:val="00D95E90"/>
    <w:rsid w:val="00D96126"/>
    <w:rsid w:val="00DA2FD5"/>
    <w:rsid w:val="00DB4B1C"/>
    <w:rsid w:val="00DB5085"/>
    <w:rsid w:val="00DB619F"/>
    <w:rsid w:val="00DB7882"/>
    <w:rsid w:val="00DC1062"/>
    <w:rsid w:val="00DC132C"/>
    <w:rsid w:val="00DC65BA"/>
    <w:rsid w:val="00DD43F0"/>
    <w:rsid w:val="00DD44DE"/>
    <w:rsid w:val="00DE09AB"/>
    <w:rsid w:val="00DE4A3F"/>
    <w:rsid w:val="00DE5A99"/>
    <w:rsid w:val="00DF4367"/>
    <w:rsid w:val="00E0574A"/>
    <w:rsid w:val="00E11E40"/>
    <w:rsid w:val="00E1243D"/>
    <w:rsid w:val="00E12742"/>
    <w:rsid w:val="00E13465"/>
    <w:rsid w:val="00E146D4"/>
    <w:rsid w:val="00E22B44"/>
    <w:rsid w:val="00E30ACD"/>
    <w:rsid w:val="00E310ED"/>
    <w:rsid w:val="00E32735"/>
    <w:rsid w:val="00E66E36"/>
    <w:rsid w:val="00E702ED"/>
    <w:rsid w:val="00E709A4"/>
    <w:rsid w:val="00E75CA8"/>
    <w:rsid w:val="00E772DB"/>
    <w:rsid w:val="00E77ABB"/>
    <w:rsid w:val="00E86012"/>
    <w:rsid w:val="00E86BAB"/>
    <w:rsid w:val="00E9188E"/>
    <w:rsid w:val="00E94E10"/>
    <w:rsid w:val="00E95FEF"/>
    <w:rsid w:val="00E96743"/>
    <w:rsid w:val="00E96A42"/>
    <w:rsid w:val="00EA1F89"/>
    <w:rsid w:val="00EA38D8"/>
    <w:rsid w:val="00EA49C5"/>
    <w:rsid w:val="00EB0DD9"/>
    <w:rsid w:val="00EB5027"/>
    <w:rsid w:val="00EB5B28"/>
    <w:rsid w:val="00EC1836"/>
    <w:rsid w:val="00EC3990"/>
    <w:rsid w:val="00EC484B"/>
    <w:rsid w:val="00EC4F03"/>
    <w:rsid w:val="00EC52E5"/>
    <w:rsid w:val="00ED0B62"/>
    <w:rsid w:val="00ED14E6"/>
    <w:rsid w:val="00ED15FA"/>
    <w:rsid w:val="00ED6FB5"/>
    <w:rsid w:val="00EE37EE"/>
    <w:rsid w:val="00EE6E9A"/>
    <w:rsid w:val="00EF1A8F"/>
    <w:rsid w:val="00EF2AC4"/>
    <w:rsid w:val="00EF397E"/>
    <w:rsid w:val="00EF7980"/>
    <w:rsid w:val="00F06F68"/>
    <w:rsid w:val="00F1362B"/>
    <w:rsid w:val="00F24C2D"/>
    <w:rsid w:val="00F32A81"/>
    <w:rsid w:val="00F44A40"/>
    <w:rsid w:val="00F46998"/>
    <w:rsid w:val="00F52B9C"/>
    <w:rsid w:val="00F5382D"/>
    <w:rsid w:val="00F53D9C"/>
    <w:rsid w:val="00F5462B"/>
    <w:rsid w:val="00F57205"/>
    <w:rsid w:val="00F634AD"/>
    <w:rsid w:val="00F63677"/>
    <w:rsid w:val="00F75B81"/>
    <w:rsid w:val="00F804C4"/>
    <w:rsid w:val="00F81187"/>
    <w:rsid w:val="00F816F3"/>
    <w:rsid w:val="00F81E05"/>
    <w:rsid w:val="00F824F3"/>
    <w:rsid w:val="00F82F83"/>
    <w:rsid w:val="00F92B30"/>
    <w:rsid w:val="00F933B9"/>
    <w:rsid w:val="00F94674"/>
    <w:rsid w:val="00F94919"/>
    <w:rsid w:val="00F94A59"/>
    <w:rsid w:val="00FA0CAF"/>
    <w:rsid w:val="00FA25B6"/>
    <w:rsid w:val="00FA2FAF"/>
    <w:rsid w:val="00FA64B1"/>
    <w:rsid w:val="00FA70F3"/>
    <w:rsid w:val="00FA71CD"/>
    <w:rsid w:val="00FB0453"/>
    <w:rsid w:val="00FB0C07"/>
    <w:rsid w:val="00FB2191"/>
    <w:rsid w:val="00FB298D"/>
    <w:rsid w:val="00FC1439"/>
    <w:rsid w:val="00FC724B"/>
    <w:rsid w:val="00FC7910"/>
    <w:rsid w:val="00FD01E0"/>
    <w:rsid w:val="00FF0DA7"/>
    <w:rsid w:val="00FF44E0"/>
    <w:rsid w:val="00FF6C72"/>
    <w:rsid w:val="48FC793D"/>
    <w:rsid w:val="56F35D5C"/>
    <w:rsid w:val="6F13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lsdException w:name="Strong" w:semiHidden="0" w:uiPriority="0" w:unhideWhenUsed="0" w:qFormat="1"/>
    <w:lsdException w:name="Emphasis" w:semiHidden="0" w:uiPriority="20" w:unhideWhenUsed="0" w:qFormat="1"/>
    <w:lsdException w:name="Plain Text" w:semiHidden="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4">
    <w:name w:val="annotation text"/>
    <w:basedOn w:val="a"/>
    <w:link w:val="Char1"/>
    <w:qFormat/>
    <w:pPr>
      <w:jc w:val="left"/>
    </w:pPr>
    <w:rPr>
      <w:rFonts w:ascii="Arial" w:eastAsia="黑体" w:hAnsi="Arial" w:cs="Arial"/>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
    <w:uiPriority w:val="99"/>
    <w:qFormat/>
    <w:rPr>
      <w:rFonts w:ascii="宋体" w:eastAsiaTheme="minorEastAsia" w:hAnsi="Courier New" w:cstheme="minorBidi"/>
      <w:szCs w:val="22"/>
    </w:rPr>
  </w:style>
  <w:style w:type="paragraph" w:styleId="a6">
    <w:name w:val="Date"/>
    <w:basedOn w:val="a"/>
    <w:next w:val="a"/>
    <w:link w:val="Char0"/>
    <w:qFormat/>
    <w:rPr>
      <w:rFonts w:ascii="Arial" w:eastAsia="宋体" w:hAnsi="Arial" w:cs="Arial"/>
      <w:b/>
      <w:sz w:val="28"/>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index 1"/>
    <w:basedOn w:val="a"/>
    <w:next w:val="a"/>
    <w:qFormat/>
    <w:pPr>
      <w:jc w:val="center"/>
    </w:pPr>
    <w:rPr>
      <w:rFonts w:ascii="Arial" w:eastAsia="Arial" w:hAnsi="Arial" w:cs="Arial"/>
      <w:b/>
      <w:bCs/>
      <w:sz w:val="28"/>
    </w:rPr>
  </w:style>
  <w:style w:type="paragraph" w:styleId="aa">
    <w:name w:val="annotation subject"/>
    <w:basedOn w:val="a4"/>
    <w:next w:val="a4"/>
    <w:link w:val="Char5"/>
    <w:uiPriority w:val="99"/>
    <w:semiHidden/>
    <w:unhideWhenUsed/>
    <w:qFormat/>
    <w:rPr>
      <w:rFonts w:ascii="@仿宋_GB2312" w:eastAsia="@仿宋_GB2312" w:hAnsi="@仿宋_GB2312" w:cs="@仿宋_GB2312"/>
      <w:b/>
      <w:bCs/>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Char2">
    <w:name w:val="批注框文本 Char"/>
    <w:basedOn w:val="a0"/>
    <w:link w:val="a7"/>
    <w:uiPriority w:val="99"/>
    <w:semiHidden/>
    <w:qFormat/>
    <w:rPr>
      <w:rFonts w:ascii="@仿宋_GB2312" w:eastAsia="@仿宋_GB2312" w:hAnsi="@仿宋_GB2312" w:cs="@仿宋_GB2312"/>
      <w:sz w:val="18"/>
      <w:szCs w:val="18"/>
    </w:rPr>
  </w:style>
  <w:style w:type="paragraph" w:customStyle="1" w:styleId="af">
    <w:name w:val="正文（缩进）"/>
    <w:basedOn w:val="a"/>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9"/>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4">
    <w:name w:val="页眉 Char"/>
    <w:basedOn w:val="a0"/>
    <w:link w:val="a9"/>
    <w:uiPriority w:val="99"/>
    <w:qFormat/>
    <w:rPr>
      <w:rFonts w:ascii="@仿宋_GB2312" w:eastAsia="@仿宋_GB2312" w:hAnsi="@仿宋_GB2312" w:cs="@仿宋_GB2312"/>
      <w:sz w:val="18"/>
      <w:szCs w:val="18"/>
    </w:rPr>
  </w:style>
  <w:style w:type="character" w:customStyle="1" w:styleId="Char3">
    <w:name w:val="页脚 Char"/>
    <w:basedOn w:val="a0"/>
    <w:link w:val="a8"/>
    <w:uiPriority w:val="99"/>
    <w:qFormat/>
    <w:rPr>
      <w:rFonts w:ascii="@仿宋_GB2312" w:eastAsia="@仿宋_GB2312" w:hAnsi="@仿宋_GB2312" w:cs="@仿宋_GB2312"/>
      <w:sz w:val="18"/>
      <w:szCs w:val="18"/>
    </w:rPr>
  </w:style>
  <w:style w:type="character" w:customStyle="1" w:styleId="Char">
    <w:name w:val="纯文本 Char"/>
    <w:link w:val="a5"/>
    <w:qFormat/>
    <w:rPr>
      <w:rFonts w:ascii="宋体" w:hAnsi="Courier New"/>
    </w:rPr>
  </w:style>
  <w:style w:type="character" w:customStyle="1" w:styleId="12">
    <w:name w:val="纯文本 字符1"/>
    <w:basedOn w:val="a0"/>
    <w:uiPriority w:val="99"/>
    <w:semiHidden/>
    <w:qFormat/>
    <w:rPr>
      <w:rFonts w:asciiTheme="minorEastAsia" w:hAnsi="Courier New" w:cs="Courier New"/>
      <w:szCs w:val="20"/>
    </w:rPr>
  </w:style>
  <w:style w:type="character" w:customStyle="1" w:styleId="13">
    <w:name w:val="未处理的提及1"/>
    <w:basedOn w:val="a0"/>
    <w:uiPriority w:val="99"/>
    <w:semiHidden/>
    <w:unhideWhenUsed/>
    <w:qFormat/>
    <w:rPr>
      <w:color w:val="605E5C"/>
      <w:shd w:val="clear" w:color="auto" w:fill="E1DFDD"/>
    </w:rPr>
  </w:style>
  <w:style w:type="paragraph" w:styleId="af0">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1">
    <w:name w:val="日期 字符"/>
    <w:basedOn w:val="a0"/>
    <w:uiPriority w:val="99"/>
    <w:semiHidden/>
    <w:qFormat/>
    <w:rPr>
      <w:rFonts w:ascii="@仿宋_GB2312" w:eastAsia="@仿宋_GB2312" w:hAnsi="@仿宋_GB2312" w:cs="@仿宋_GB2312"/>
      <w:szCs w:val="20"/>
    </w:rPr>
  </w:style>
  <w:style w:type="character" w:customStyle="1" w:styleId="Char0">
    <w:name w:val="日期 Char"/>
    <w:link w:val="a6"/>
    <w:qFormat/>
    <w:rPr>
      <w:rFonts w:ascii="Arial" w:eastAsia="宋体" w:hAnsi="Arial" w:cs="Arial"/>
      <w:b/>
      <w:sz w:val="28"/>
      <w:szCs w:val="20"/>
    </w:rPr>
  </w:style>
  <w:style w:type="character" w:customStyle="1" w:styleId="Char10">
    <w:name w:val="纯文本 Char1"/>
    <w:uiPriority w:val="99"/>
    <w:qFormat/>
    <w:locked/>
    <w:rPr>
      <w:rFonts w:ascii="Arial" w:eastAsia="Arial" w:hAnsi="Arial"/>
      <w:kern w:val="2"/>
      <w:sz w:val="21"/>
      <w:lang w:val="en-US" w:eastAsia="zh-CN" w:bidi="ar-SA"/>
    </w:rPr>
  </w:style>
  <w:style w:type="character" w:customStyle="1" w:styleId="Char6">
    <w:name w:val="批注文字 Char"/>
    <w:basedOn w:val="a0"/>
    <w:qFormat/>
    <w:rPr>
      <w:rFonts w:ascii="@仿宋_GB2312" w:eastAsia="@仿宋_GB2312" w:hAnsi="@仿宋_GB2312" w:cs="@仿宋_GB2312"/>
      <w:szCs w:val="20"/>
    </w:rPr>
  </w:style>
  <w:style w:type="character" w:customStyle="1" w:styleId="Char1">
    <w:name w:val="批注文字 Char1"/>
    <w:link w:val="a4"/>
    <w:qFormat/>
    <w:rPr>
      <w:rFonts w:ascii="Arial" w:eastAsia="黑体" w:hAnsi="Arial" w:cs="Arial"/>
      <w:szCs w:val="20"/>
    </w:rPr>
  </w:style>
  <w:style w:type="character" w:customStyle="1" w:styleId="1Char">
    <w:name w:val="标题 1 Char"/>
    <w:basedOn w:val="a0"/>
    <w:link w:val="1"/>
    <w:uiPriority w:val="9"/>
    <w:qFormat/>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0"/>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4Char">
    <w:name w:val="标题 4 Char"/>
    <w:link w:val="4"/>
    <w:qFormat/>
    <w:rPr>
      <w:rFonts w:ascii="@仿宋_GB2312" w:eastAsia="@仿宋_GB2312" w:hAnsi="@仿宋_GB2312" w:cs="@仿宋_GB2312"/>
      <w:b/>
      <w:bCs/>
      <w:sz w:val="28"/>
      <w:szCs w:val="28"/>
    </w:rPr>
  </w:style>
  <w:style w:type="character" w:customStyle="1" w:styleId="Char5">
    <w:name w:val="批注主题 Char"/>
    <w:basedOn w:val="Char1"/>
    <w:link w:val="aa"/>
    <w:uiPriority w:val="99"/>
    <w:semiHidden/>
    <w:qFormat/>
    <w:rPr>
      <w:rFonts w:ascii="@仿宋_GB2312" w:eastAsia="@仿宋_GB2312" w:hAnsi="@仿宋_GB2312" w:cs="@仿宋_GB2312"/>
      <w:b/>
      <w:bCs/>
      <w:szCs w:val="20"/>
    </w:rPr>
  </w:style>
  <w:style w:type="paragraph" w:customStyle="1" w:styleId="TableParagraph">
    <w:name w:val="Table Paragraph"/>
    <w:basedOn w:val="a"/>
    <w:uiPriority w:val="1"/>
    <w:qFormat/>
    <w:rsid w:val="00A83CF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lsdException w:name="Strong" w:semiHidden="0" w:uiPriority="0" w:unhideWhenUsed="0" w:qFormat="1"/>
    <w:lsdException w:name="Emphasis" w:semiHidden="0" w:uiPriority="20" w:unhideWhenUsed="0" w:qFormat="1"/>
    <w:lsdException w:name="Plain Text" w:semiHidden="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4">
    <w:name w:val="annotation text"/>
    <w:basedOn w:val="a"/>
    <w:link w:val="Char1"/>
    <w:qFormat/>
    <w:pPr>
      <w:jc w:val="left"/>
    </w:pPr>
    <w:rPr>
      <w:rFonts w:ascii="Arial" w:eastAsia="黑体" w:hAnsi="Arial" w:cs="Arial"/>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
    <w:uiPriority w:val="99"/>
    <w:qFormat/>
    <w:rPr>
      <w:rFonts w:ascii="宋体" w:eastAsiaTheme="minorEastAsia" w:hAnsi="Courier New" w:cstheme="minorBidi"/>
      <w:szCs w:val="22"/>
    </w:rPr>
  </w:style>
  <w:style w:type="paragraph" w:styleId="a6">
    <w:name w:val="Date"/>
    <w:basedOn w:val="a"/>
    <w:next w:val="a"/>
    <w:link w:val="Char0"/>
    <w:qFormat/>
    <w:rPr>
      <w:rFonts w:ascii="Arial" w:eastAsia="宋体" w:hAnsi="Arial" w:cs="Arial"/>
      <w:b/>
      <w:sz w:val="28"/>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index 1"/>
    <w:basedOn w:val="a"/>
    <w:next w:val="a"/>
    <w:qFormat/>
    <w:pPr>
      <w:jc w:val="center"/>
    </w:pPr>
    <w:rPr>
      <w:rFonts w:ascii="Arial" w:eastAsia="Arial" w:hAnsi="Arial" w:cs="Arial"/>
      <w:b/>
      <w:bCs/>
      <w:sz w:val="28"/>
    </w:rPr>
  </w:style>
  <w:style w:type="paragraph" w:styleId="aa">
    <w:name w:val="annotation subject"/>
    <w:basedOn w:val="a4"/>
    <w:next w:val="a4"/>
    <w:link w:val="Char5"/>
    <w:uiPriority w:val="99"/>
    <w:semiHidden/>
    <w:unhideWhenUsed/>
    <w:qFormat/>
    <w:rPr>
      <w:rFonts w:ascii="@仿宋_GB2312" w:eastAsia="@仿宋_GB2312" w:hAnsi="@仿宋_GB2312" w:cs="@仿宋_GB2312"/>
      <w:b/>
      <w:bCs/>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Char2">
    <w:name w:val="批注框文本 Char"/>
    <w:basedOn w:val="a0"/>
    <w:link w:val="a7"/>
    <w:uiPriority w:val="99"/>
    <w:semiHidden/>
    <w:qFormat/>
    <w:rPr>
      <w:rFonts w:ascii="@仿宋_GB2312" w:eastAsia="@仿宋_GB2312" w:hAnsi="@仿宋_GB2312" w:cs="@仿宋_GB2312"/>
      <w:sz w:val="18"/>
      <w:szCs w:val="18"/>
    </w:rPr>
  </w:style>
  <w:style w:type="paragraph" w:customStyle="1" w:styleId="af">
    <w:name w:val="正文（缩进）"/>
    <w:basedOn w:val="a"/>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9"/>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4">
    <w:name w:val="页眉 Char"/>
    <w:basedOn w:val="a0"/>
    <w:link w:val="a9"/>
    <w:uiPriority w:val="99"/>
    <w:qFormat/>
    <w:rPr>
      <w:rFonts w:ascii="@仿宋_GB2312" w:eastAsia="@仿宋_GB2312" w:hAnsi="@仿宋_GB2312" w:cs="@仿宋_GB2312"/>
      <w:sz w:val="18"/>
      <w:szCs w:val="18"/>
    </w:rPr>
  </w:style>
  <w:style w:type="character" w:customStyle="1" w:styleId="Char3">
    <w:name w:val="页脚 Char"/>
    <w:basedOn w:val="a0"/>
    <w:link w:val="a8"/>
    <w:uiPriority w:val="99"/>
    <w:qFormat/>
    <w:rPr>
      <w:rFonts w:ascii="@仿宋_GB2312" w:eastAsia="@仿宋_GB2312" w:hAnsi="@仿宋_GB2312" w:cs="@仿宋_GB2312"/>
      <w:sz w:val="18"/>
      <w:szCs w:val="18"/>
    </w:rPr>
  </w:style>
  <w:style w:type="character" w:customStyle="1" w:styleId="Char">
    <w:name w:val="纯文本 Char"/>
    <w:link w:val="a5"/>
    <w:qFormat/>
    <w:rPr>
      <w:rFonts w:ascii="宋体" w:hAnsi="Courier New"/>
    </w:rPr>
  </w:style>
  <w:style w:type="character" w:customStyle="1" w:styleId="12">
    <w:name w:val="纯文本 字符1"/>
    <w:basedOn w:val="a0"/>
    <w:uiPriority w:val="99"/>
    <w:semiHidden/>
    <w:qFormat/>
    <w:rPr>
      <w:rFonts w:asciiTheme="minorEastAsia" w:hAnsi="Courier New" w:cs="Courier New"/>
      <w:szCs w:val="20"/>
    </w:rPr>
  </w:style>
  <w:style w:type="character" w:customStyle="1" w:styleId="13">
    <w:name w:val="未处理的提及1"/>
    <w:basedOn w:val="a0"/>
    <w:uiPriority w:val="99"/>
    <w:semiHidden/>
    <w:unhideWhenUsed/>
    <w:qFormat/>
    <w:rPr>
      <w:color w:val="605E5C"/>
      <w:shd w:val="clear" w:color="auto" w:fill="E1DFDD"/>
    </w:rPr>
  </w:style>
  <w:style w:type="paragraph" w:styleId="af0">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1">
    <w:name w:val="日期 字符"/>
    <w:basedOn w:val="a0"/>
    <w:uiPriority w:val="99"/>
    <w:semiHidden/>
    <w:qFormat/>
    <w:rPr>
      <w:rFonts w:ascii="@仿宋_GB2312" w:eastAsia="@仿宋_GB2312" w:hAnsi="@仿宋_GB2312" w:cs="@仿宋_GB2312"/>
      <w:szCs w:val="20"/>
    </w:rPr>
  </w:style>
  <w:style w:type="character" w:customStyle="1" w:styleId="Char0">
    <w:name w:val="日期 Char"/>
    <w:link w:val="a6"/>
    <w:qFormat/>
    <w:rPr>
      <w:rFonts w:ascii="Arial" w:eastAsia="宋体" w:hAnsi="Arial" w:cs="Arial"/>
      <w:b/>
      <w:sz w:val="28"/>
      <w:szCs w:val="20"/>
    </w:rPr>
  </w:style>
  <w:style w:type="character" w:customStyle="1" w:styleId="Char10">
    <w:name w:val="纯文本 Char1"/>
    <w:uiPriority w:val="99"/>
    <w:qFormat/>
    <w:locked/>
    <w:rPr>
      <w:rFonts w:ascii="Arial" w:eastAsia="Arial" w:hAnsi="Arial"/>
      <w:kern w:val="2"/>
      <w:sz w:val="21"/>
      <w:lang w:val="en-US" w:eastAsia="zh-CN" w:bidi="ar-SA"/>
    </w:rPr>
  </w:style>
  <w:style w:type="character" w:customStyle="1" w:styleId="Char6">
    <w:name w:val="批注文字 Char"/>
    <w:basedOn w:val="a0"/>
    <w:qFormat/>
    <w:rPr>
      <w:rFonts w:ascii="@仿宋_GB2312" w:eastAsia="@仿宋_GB2312" w:hAnsi="@仿宋_GB2312" w:cs="@仿宋_GB2312"/>
      <w:szCs w:val="20"/>
    </w:rPr>
  </w:style>
  <w:style w:type="character" w:customStyle="1" w:styleId="Char1">
    <w:name w:val="批注文字 Char1"/>
    <w:link w:val="a4"/>
    <w:qFormat/>
    <w:rPr>
      <w:rFonts w:ascii="Arial" w:eastAsia="黑体" w:hAnsi="Arial" w:cs="Arial"/>
      <w:szCs w:val="20"/>
    </w:rPr>
  </w:style>
  <w:style w:type="character" w:customStyle="1" w:styleId="1Char">
    <w:name w:val="标题 1 Char"/>
    <w:basedOn w:val="a0"/>
    <w:link w:val="1"/>
    <w:uiPriority w:val="9"/>
    <w:qFormat/>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0"/>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4Char">
    <w:name w:val="标题 4 Char"/>
    <w:link w:val="4"/>
    <w:qFormat/>
    <w:rPr>
      <w:rFonts w:ascii="@仿宋_GB2312" w:eastAsia="@仿宋_GB2312" w:hAnsi="@仿宋_GB2312" w:cs="@仿宋_GB2312"/>
      <w:b/>
      <w:bCs/>
      <w:sz w:val="28"/>
      <w:szCs w:val="28"/>
    </w:rPr>
  </w:style>
  <w:style w:type="character" w:customStyle="1" w:styleId="Char5">
    <w:name w:val="批注主题 Char"/>
    <w:basedOn w:val="Char1"/>
    <w:link w:val="aa"/>
    <w:uiPriority w:val="99"/>
    <w:semiHidden/>
    <w:qFormat/>
    <w:rPr>
      <w:rFonts w:ascii="@仿宋_GB2312" w:eastAsia="@仿宋_GB2312" w:hAnsi="@仿宋_GB2312" w:cs="@仿宋_GB2312"/>
      <w:b/>
      <w:bCs/>
      <w:szCs w:val="20"/>
    </w:rPr>
  </w:style>
  <w:style w:type="paragraph" w:customStyle="1" w:styleId="TableParagraph">
    <w:name w:val="Table Paragraph"/>
    <w:basedOn w:val="a"/>
    <w:uiPriority w:val="1"/>
    <w:qFormat/>
    <w:rsid w:val="00A83CF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2156A-7C37-4E64-BB8B-67A4995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878</Words>
  <Characters>5009</Characters>
  <Application>Microsoft Office Word</Application>
  <DocSecurity>0</DocSecurity>
  <Lines>41</Lines>
  <Paragraphs>11</Paragraphs>
  <ScaleCrop>false</ScaleCrop>
  <Company>akoosky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michaelLXY</cp:lastModifiedBy>
  <cp:revision>363</cp:revision>
  <cp:lastPrinted>2022-05-17T00:54:00Z</cp:lastPrinted>
  <dcterms:created xsi:type="dcterms:W3CDTF">2019-05-06T14:32:00Z</dcterms:created>
  <dcterms:modified xsi:type="dcterms:W3CDTF">2022-05-25T09:23:00Z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